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D3B91D">
      <w:pPr>
        <w:pStyle w:val="16"/>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br w:type="textWrapping"/>
      </w:r>
      <w:r>
        <w:rPr>
          <w:rFonts w:hint="eastAsia" w:ascii="仿宋" w:hAnsi="仿宋" w:eastAsia="仿宋" w:cs="仿宋"/>
          <w:color w:val="auto"/>
          <w:sz w:val="28"/>
          <w:szCs w:val="28"/>
          <w:highlight w:val="none"/>
        </w:rPr>
        <w:br w:type="textWrapping"/>
      </w:r>
      <w:r>
        <w:rPr>
          <w:rFonts w:hint="eastAsia" w:ascii="仿宋" w:hAnsi="仿宋" w:eastAsia="仿宋" w:cs="仿宋"/>
          <w:color w:val="auto"/>
          <w:sz w:val="28"/>
          <w:szCs w:val="28"/>
          <w:highlight w:val="none"/>
        </w:rPr>
        <w:br w:type="textWrapping"/>
      </w:r>
      <w:r>
        <w:rPr>
          <w:rFonts w:hint="eastAsia" w:ascii="仿宋" w:hAnsi="仿宋" w:eastAsia="仿宋" w:cs="仿宋"/>
          <w:color w:val="auto"/>
          <w:sz w:val="28"/>
          <w:szCs w:val="28"/>
          <w:highlight w:val="none"/>
        </w:rPr>
        <w:br w:type="textWrapping"/>
      </w:r>
      <w:r>
        <w:rPr>
          <w:rFonts w:hint="eastAsia" w:ascii="仿宋" w:hAnsi="仿宋" w:eastAsia="仿宋" w:cs="仿宋"/>
          <w:color w:val="auto"/>
          <w:sz w:val="28"/>
          <w:szCs w:val="28"/>
          <w:highlight w:val="none"/>
        </w:rPr>
        <w:br w:type="textWrapping"/>
      </w:r>
    </w:p>
    <w:p w14:paraId="449E2FA5">
      <w:pPr>
        <w:pStyle w:val="16"/>
        <w:spacing w:line="360" w:lineRule="auto"/>
        <w:jc w:val="center"/>
        <w:outlineLvl w:val="9"/>
        <w:rPr>
          <w:rFonts w:hint="eastAsia" w:ascii="仿宋" w:hAnsi="仿宋" w:eastAsia="仿宋" w:cs="仿宋"/>
          <w:b/>
          <w:color w:val="auto"/>
          <w:sz w:val="72"/>
          <w:szCs w:val="72"/>
          <w:highlight w:val="none"/>
        </w:rPr>
      </w:pPr>
      <w:bookmarkStart w:id="0" w:name="_Toc8728"/>
      <w:r>
        <w:rPr>
          <w:rFonts w:hint="eastAsia" w:ascii="仿宋" w:hAnsi="仿宋" w:eastAsia="仿宋" w:cs="仿宋"/>
          <w:b/>
          <w:color w:val="auto"/>
          <w:sz w:val="72"/>
          <w:szCs w:val="72"/>
          <w:highlight w:val="none"/>
        </w:rPr>
        <w:t>公开招标文件</w:t>
      </w:r>
      <w:bookmarkEnd w:id="0"/>
    </w:p>
    <w:p w14:paraId="63DFB4C1">
      <w:pPr>
        <w:pStyle w:val="16"/>
        <w:spacing w:line="360" w:lineRule="auto"/>
        <w:jc w:val="center"/>
        <w:outlineLvl w:val="9"/>
        <w:rPr>
          <w:rFonts w:hint="eastAsia" w:ascii="仿宋" w:hAnsi="仿宋" w:eastAsia="仿宋" w:cs="仿宋"/>
          <w:color w:val="auto"/>
          <w:sz w:val="28"/>
          <w:szCs w:val="28"/>
          <w:highlight w:val="none"/>
        </w:rPr>
      </w:pPr>
      <w:bookmarkStart w:id="1" w:name="_Toc18890"/>
      <w:r>
        <w:rPr>
          <w:rFonts w:hint="eastAsia" w:ascii="仿宋" w:hAnsi="仿宋" w:eastAsia="仿宋" w:cs="仿宋"/>
          <w:color w:val="auto"/>
          <w:sz w:val="28"/>
          <w:szCs w:val="28"/>
          <w:highlight w:val="none"/>
        </w:rPr>
        <w:br w:type="textWrapping"/>
      </w:r>
      <w:r>
        <w:rPr>
          <w:rFonts w:hint="eastAsia" w:ascii="仿宋" w:hAnsi="仿宋" w:eastAsia="仿宋" w:cs="仿宋"/>
          <w:color w:val="auto"/>
          <w:sz w:val="28"/>
          <w:szCs w:val="28"/>
          <w:highlight w:val="none"/>
        </w:rPr>
        <w:br w:type="textWrapping"/>
      </w:r>
      <w:r>
        <w:rPr>
          <w:rFonts w:hint="eastAsia" w:ascii="仿宋" w:hAnsi="仿宋" w:eastAsia="仿宋" w:cs="仿宋"/>
          <w:color w:val="auto"/>
          <w:sz w:val="28"/>
          <w:szCs w:val="28"/>
          <w:highlight w:val="none"/>
        </w:rPr>
        <w:br w:type="textWrapping"/>
      </w:r>
      <w:r>
        <w:rPr>
          <w:rFonts w:hint="eastAsia" w:ascii="仿宋" w:hAnsi="仿宋" w:eastAsia="仿宋" w:cs="仿宋"/>
          <w:color w:val="auto"/>
          <w:sz w:val="28"/>
          <w:szCs w:val="28"/>
          <w:highlight w:val="none"/>
        </w:rPr>
        <w:br w:type="textWrapping"/>
      </w:r>
      <w:r>
        <w:rPr>
          <w:rFonts w:hint="eastAsia" w:ascii="仿宋" w:hAnsi="仿宋" w:eastAsia="仿宋" w:cs="仿宋"/>
          <w:color w:val="auto"/>
          <w:sz w:val="28"/>
          <w:szCs w:val="28"/>
          <w:highlight w:val="none"/>
        </w:rPr>
        <w:br w:type="textWrapping"/>
      </w:r>
      <w:r>
        <w:rPr>
          <w:rFonts w:hint="eastAsia" w:ascii="仿宋" w:hAnsi="仿宋" w:eastAsia="仿宋" w:cs="仿宋"/>
          <w:color w:val="auto"/>
          <w:sz w:val="28"/>
          <w:szCs w:val="28"/>
          <w:highlight w:val="none"/>
        </w:rPr>
        <w:br w:type="textWrapping"/>
      </w:r>
      <w:r>
        <w:rPr>
          <w:rFonts w:hint="eastAsia" w:ascii="仿宋" w:hAnsi="仿宋" w:eastAsia="仿宋" w:cs="仿宋"/>
          <w:color w:val="auto"/>
          <w:sz w:val="28"/>
          <w:szCs w:val="28"/>
          <w:highlight w:val="none"/>
        </w:rPr>
        <w:br w:type="textWrapping"/>
      </w:r>
      <w:r>
        <w:rPr>
          <w:rFonts w:hint="eastAsia" w:ascii="仿宋" w:hAnsi="仿宋" w:eastAsia="仿宋" w:cs="仿宋"/>
          <w:color w:val="auto"/>
          <w:sz w:val="28"/>
          <w:szCs w:val="28"/>
          <w:highlight w:val="none"/>
        </w:rPr>
        <w:br w:type="textWrapping"/>
      </w:r>
      <w:r>
        <w:rPr>
          <w:rFonts w:hint="eastAsia" w:ascii="仿宋" w:hAnsi="仿宋" w:eastAsia="仿宋" w:cs="仿宋"/>
          <w:color w:val="auto"/>
          <w:sz w:val="28"/>
          <w:szCs w:val="28"/>
          <w:highlight w:val="none"/>
        </w:rPr>
        <w:br w:type="textWrapping"/>
      </w:r>
      <w:bookmarkEnd w:id="1"/>
    </w:p>
    <w:p w14:paraId="0D232235">
      <w:pPr>
        <w:pStyle w:val="16"/>
        <w:spacing w:line="360" w:lineRule="auto"/>
        <w:jc w:val="center"/>
        <w:outlineLvl w:val="9"/>
        <w:rPr>
          <w:rFonts w:hint="default" w:ascii="仿宋" w:hAnsi="仿宋" w:eastAsia="仿宋" w:cs="仿宋"/>
          <w:color w:val="auto"/>
          <w:sz w:val="28"/>
          <w:szCs w:val="28"/>
          <w:highlight w:val="none"/>
          <w:lang w:val="en-US" w:eastAsia="zh-CN"/>
        </w:rPr>
      </w:pPr>
      <w:bookmarkStart w:id="2" w:name="_Toc10946"/>
      <w:r>
        <w:rPr>
          <w:rFonts w:hint="eastAsia" w:ascii="仿宋" w:hAnsi="仿宋" w:eastAsia="仿宋" w:cs="仿宋"/>
          <w:b/>
          <w:color w:val="auto"/>
          <w:sz w:val="28"/>
          <w:szCs w:val="28"/>
          <w:highlight w:val="none"/>
        </w:rPr>
        <w:t>采购计划编号：</w:t>
      </w:r>
      <w:bookmarkEnd w:id="2"/>
      <w:r>
        <w:rPr>
          <w:rFonts w:hint="eastAsia" w:ascii="仿宋" w:hAnsi="仿宋" w:eastAsia="仿宋" w:cs="仿宋"/>
          <w:b/>
          <w:color w:val="auto"/>
          <w:sz w:val="28"/>
          <w:szCs w:val="28"/>
          <w:highlight w:val="none"/>
          <w:lang w:val="en-US" w:eastAsia="zh-CN"/>
        </w:rPr>
        <w:t>DSZB25DG005C</w:t>
      </w:r>
    </w:p>
    <w:p w14:paraId="4870F03B">
      <w:pPr>
        <w:pStyle w:val="16"/>
        <w:spacing w:line="360" w:lineRule="auto"/>
        <w:jc w:val="center"/>
        <w:outlineLvl w:val="9"/>
        <w:rPr>
          <w:rFonts w:hint="eastAsia" w:ascii="仿宋" w:hAnsi="仿宋" w:eastAsia="仿宋" w:cs="仿宋"/>
          <w:color w:val="auto"/>
          <w:sz w:val="28"/>
          <w:szCs w:val="28"/>
          <w:highlight w:val="none"/>
          <w:lang w:eastAsia="zh-CN"/>
        </w:rPr>
      </w:pPr>
      <w:bookmarkStart w:id="3" w:name="_Toc17571"/>
      <w:r>
        <w:rPr>
          <w:rFonts w:hint="eastAsia" w:ascii="仿宋" w:hAnsi="仿宋" w:eastAsia="仿宋" w:cs="仿宋"/>
          <w:b/>
          <w:color w:val="auto"/>
          <w:sz w:val="28"/>
          <w:szCs w:val="28"/>
          <w:highlight w:val="none"/>
        </w:rPr>
        <w:t>采购项目编号：</w:t>
      </w:r>
      <w:bookmarkEnd w:id="3"/>
      <w:r>
        <w:rPr>
          <w:rFonts w:hint="eastAsia" w:ascii="仿宋" w:hAnsi="仿宋" w:eastAsia="仿宋" w:cs="仿宋"/>
          <w:b/>
          <w:color w:val="auto"/>
          <w:sz w:val="28"/>
          <w:szCs w:val="28"/>
          <w:highlight w:val="none"/>
          <w:lang w:val="en-US" w:eastAsia="zh-CN"/>
        </w:rPr>
        <w:t>DSZB25DG005C</w:t>
      </w:r>
    </w:p>
    <w:p w14:paraId="251807EA">
      <w:pPr>
        <w:pStyle w:val="16"/>
        <w:spacing w:line="360" w:lineRule="auto"/>
        <w:jc w:val="center"/>
        <w:outlineLvl w:val="9"/>
        <w:rPr>
          <w:rFonts w:hint="eastAsia" w:ascii="仿宋" w:hAnsi="仿宋" w:eastAsia="仿宋" w:cs="仿宋"/>
          <w:color w:val="auto"/>
          <w:sz w:val="28"/>
          <w:szCs w:val="28"/>
          <w:highlight w:val="none"/>
          <w:lang w:eastAsia="zh-CN"/>
        </w:rPr>
      </w:pPr>
      <w:bookmarkStart w:id="4" w:name="_Toc12754"/>
      <w:r>
        <w:rPr>
          <w:rFonts w:hint="eastAsia" w:ascii="仿宋" w:hAnsi="仿宋" w:eastAsia="仿宋" w:cs="仿宋"/>
          <w:b/>
          <w:color w:val="auto"/>
          <w:sz w:val="28"/>
          <w:szCs w:val="28"/>
          <w:highlight w:val="none"/>
        </w:rPr>
        <w:t>项目名称：</w:t>
      </w:r>
      <w:r>
        <w:rPr>
          <w:rFonts w:hint="eastAsia" w:ascii="仿宋" w:hAnsi="仿宋" w:eastAsia="仿宋" w:cs="仿宋"/>
          <w:b/>
          <w:color w:val="auto"/>
          <w:sz w:val="28"/>
          <w:szCs w:val="28"/>
          <w:highlight w:val="none"/>
          <w:lang w:eastAsia="zh-CN"/>
        </w:rPr>
        <w:t>东莞市常平镇中心小学食堂食材采购项目</w:t>
      </w:r>
      <w:bookmarkEnd w:id="4"/>
    </w:p>
    <w:p w14:paraId="20153BE6">
      <w:pPr>
        <w:pStyle w:val="16"/>
        <w:spacing w:line="360" w:lineRule="auto"/>
        <w:ind w:firstLine="2530" w:firstLineChars="900"/>
        <w:jc w:val="both"/>
        <w:outlineLvl w:val="9"/>
        <w:rPr>
          <w:rFonts w:hint="eastAsia" w:ascii="仿宋" w:hAnsi="仿宋" w:eastAsia="仿宋" w:cs="仿宋"/>
          <w:color w:val="auto"/>
          <w:sz w:val="28"/>
          <w:szCs w:val="28"/>
          <w:highlight w:val="none"/>
          <w:lang w:eastAsia="zh-CN"/>
        </w:rPr>
      </w:pPr>
      <w:bookmarkStart w:id="5" w:name="_Toc9795"/>
      <w:r>
        <w:rPr>
          <w:rFonts w:hint="eastAsia" w:ascii="仿宋" w:hAnsi="仿宋" w:eastAsia="仿宋" w:cs="仿宋"/>
          <w:b/>
          <w:color w:val="auto"/>
          <w:sz w:val="28"/>
          <w:szCs w:val="28"/>
          <w:highlight w:val="none"/>
        </w:rPr>
        <w:t>采购人：</w:t>
      </w:r>
      <w:r>
        <w:rPr>
          <w:rFonts w:hint="eastAsia" w:ascii="仿宋" w:hAnsi="仿宋" w:eastAsia="仿宋" w:cs="仿宋"/>
          <w:b/>
          <w:color w:val="auto"/>
          <w:sz w:val="28"/>
          <w:szCs w:val="28"/>
          <w:highlight w:val="none"/>
          <w:lang w:eastAsia="zh-CN"/>
        </w:rPr>
        <w:t>东莞市常平镇中心小学</w:t>
      </w:r>
      <w:bookmarkEnd w:id="5"/>
    </w:p>
    <w:p w14:paraId="18F2D1E5">
      <w:pPr>
        <w:pStyle w:val="16"/>
        <w:spacing w:line="360" w:lineRule="auto"/>
        <w:jc w:val="center"/>
        <w:outlineLvl w:val="9"/>
        <w:rPr>
          <w:rFonts w:hint="eastAsia" w:ascii="仿宋" w:hAnsi="仿宋" w:eastAsia="仿宋" w:cs="仿宋"/>
          <w:b/>
          <w:color w:val="auto"/>
          <w:sz w:val="28"/>
          <w:szCs w:val="28"/>
          <w:highlight w:val="none"/>
        </w:rPr>
      </w:pPr>
      <w:bookmarkStart w:id="6" w:name="_Toc4003"/>
      <w:r>
        <w:rPr>
          <w:rFonts w:hint="eastAsia" w:ascii="仿宋" w:hAnsi="仿宋" w:eastAsia="仿宋" w:cs="仿宋"/>
          <w:b/>
          <w:color w:val="auto"/>
          <w:sz w:val="28"/>
          <w:szCs w:val="28"/>
          <w:highlight w:val="none"/>
        </w:rPr>
        <w:t>采购代理机构：东莞市德晟招标有限公司</w:t>
      </w:r>
      <w:bookmarkEnd w:id="6"/>
    </w:p>
    <w:p w14:paraId="6EDDAFCE">
      <w:pPr>
        <w:pStyle w:val="16"/>
        <w:spacing w:line="360" w:lineRule="auto"/>
        <w:jc w:val="center"/>
        <w:outlineLvl w:val="9"/>
        <w:rPr>
          <w:rFonts w:hint="eastAsia" w:ascii="仿宋" w:hAnsi="仿宋" w:eastAsia="仿宋" w:cs="仿宋"/>
          <w:b/>
          <w:color w:val="auto"/>
          <w:sz w:val="28"/>
          <w:szCs w:val="28"/>
          <w:highlight w:val="none"/>
        </w:rPr>
      </w:pPr>
    </w:p>
    <w:p w14:paraId="4BE80062">
      <w:pPr>
        <w:pStyle w:val="2"/>
        <w:bidi w:val="0"/>
        <w:jc w:val="center"/>
        <w:outlineLvl w:val="0"/>
        <w:rPr>
          <w:rFonts w:hint="eastAsia" w:ascii="仿宋" w:hAnsi="仿宋" w:eastAsia="仿宋" w:cs="仿宋"/>
          <w:color w:val="auto"/>
          <w:sz w:val="28"/>
          <w:szCs w:val="28"/>
          <w:highlight w:val="none"/>
        </w:rPr>
        <w:sectPr>
          <w:pgSz w:w="11907" w:h="16840"/>
          <w:pgMar w:top="1559" w:right="1531" w:bottom="1712" w:left="1531" w:header="1089" w:footer="725" w:gutter="0"/>
          <w:pgNumType w:fmt="decimal" w:start="1"/>
          <w:cols w:space="720" w:num="1"/>
          <w:docGrid w:linePitch="523" w:charSpace="0"/>
        </w:sectPr>
      </w:pPr>
    </w:p>
    <w:p w14:paraId="57AFC9A7">
      <w:pPr>
        <w:rPr>
          <w:color w:val="auto"/>
          <w:highlight w:val="none"/>
        </w:rPr>
      </w:pPr>
    </w:p>
    <w:p w14:paraId="7C30B6DF">
      <w:pPr>
        <w:keepNext w:val="0"/>
        <w:keepLines w:val="0"/>
        <w:pageBreakBefore w:val="0"/>
        <w:widowControl w:val="0"/>
        <w:kinsoku/>
        <w:wordWrap/>
        <w:overflowPunct/>
        <w:topLinePunct w:val="0"/>
        <w:autoSpaceDE/>
        <w:autoSpaceDN/>
        <w:bidi w:val="0"/>
        <w:adjustRightInd/>
        <w:snapToGrid/>
        <w:spacing w:before="525" w:beforeLines="100" w:after="525" w:afterLines="100"/>
        <w:jc w:val="center"/>
        <w:textAlignment w:val="auto"/>
        <w:rPr>
          <w:rFonts w:hint="eastAsia" w:ascii="仿宋" w:hAnsi="仿宋" w:eastAsia="仿宋" w:cs="仿宋"/>
          <w:b/>
          <w:bCs/>
          <w:color w:val="auto"/>
          <w:sz w:val="36"/>
          <w:szCs w:val="36"/>
          <w:highlight w:val="none"/>
          <w:lang w:val="en-US" w:eastAsia="zh-CN"/>
        </w:rPr>
      </w:pPr>
      <w:r>
        <w:rPr>
          <w:rFonts w:hint="eastAsia" w:ascii="仿宋" w:hAnsi="仿宋" w:eastAsia="仿宋" w:cs="仿宋"/>
          <w:b/>
          <w:bCs/>
          <w:color w:val="auto"/>
          <w:sz w:val="36"/>
          <w:szCs w:val="36"/>
          <w:highlight w:val="none"/>
          <w:lang w:val="en-US" w:eastAsia="zh-CN"/>
        </w:rPr>
        <w:t>目录</w:t>
      </w:r>
    </w:p>
    <w:sdt>
      <w:sdtPr>
        <w:rPr>
          <w:rFonts w:ascii="宋体" w:hAnsi="宋体" w:eastAsia="宋体" w:cs="Times New Roman"/>
          <w:color w:val="auto"/>
          <w:kern w:val="2"/>
          <w:sz w:val="21"/>
          <w:szCs w:val="24"/>
          <w:highlight w:val="none"/>
          <w:lang w:val="en-US" w:eastAsia="zh-CN" w:bidi="ar-SA"/>
        </w:rPr>
        <w:id w:val="147468334"/>
        <w15:color w:val="DBDBDB"/>
        <w:docPartObj>
          <w:docPartGallery w:val="Table of Contents"/>
          <w:docPartUnique/>
        </w:docPartObj>
      </w:sdtPr>
      <w:sdtEndPr>
        <w:rPr>
          <w:rFonts w:ascii="宋体" w:hAnsi="宋体" w:eastAsia="宋体" w:cs="Times New Roman"/>
          <w:color w:val="auto"/>
          <w:kern w:val="2"/>
          <w:sz w:val="21"/>
          <w:szCs w:val="24"/>
          <w:highlight w:val="none"/>
          <w:lang w:val="en-US" w:eastAsia="zh-CN" w:bidi="ar-SA"/>
        </w:rPr>
      </w:sdtEndPr>
      <w:sdtContent>
        <w:p w14:paraId="08BC6E94">
          <w:pPr>
            <w:spacing w:before="0" w:beforeLines="0" w:after="0" w:afterLines="0" w:line="240" w:lineRule="auto"/>
            <w:ind w:left="0" w:leftChars="0" w:right="0" w:rightChars="0" w:firstLine="0" w:firstLineChars="0"/>
            <w:jc w:val="center"/>
            <w:rPr>
              <w:color w:val="auto"/>
              <w:highlight w:val="none"/>
            </w:rPr>
          </w:pPr>
        </w:p>
        <w:p w14:paraId="7405E6B7">
          <w:pPr>
            <w:pStyle w:val="10"/>
            <w:keepNext w:val="0"/>
            <w:keepLines w:val="0"/>
            <w:pageBreakBefore w:val="0"/>
            <w:tabs>
              <w:tab w:val="right" w:leader="dot" w:pos="8845"/>
            </w:tabs>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8"/>
              <w:szCs w:val="28"/>
              <w:highlight w:val="none"/>
            </w:rPr>
          </w:pPr>
          <w:r>
            <w:rPr>
              <w:color w:val="auto"/>
              <w:sz w:val="28"/>
              <w:szCs w:val="28"/>
              <w:highlight w:val="none"/>
            </w:rPr>
            <w:fldChar w:fldCharType="begin"/>
          </w:r>
          <w:r>
            <w:rPr>
              <w:color w:val="auto"/>
              <w:sz w:val="28"/>
              <w:szCs w:val="28"/>
              <w:highlight w:val="none"/>
            </w:rPr>
            <w:instrText xml:space="preserve">TOC \o "1-1" \h \u </w:instrText>
          </w:r>
          <w:r>
            <w:rPr>
              <w:color w:val="auto"/>
              <w:sz w:val="28"/>
              <w:szCs w:val="28"/>
              <w:highlight w:val="none"/>
            </w:rPr>
            <w:fldChar w:fldCharType="separate"/>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HYPERLINK \l _Toc8513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第一章</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投标邀请</w:t>
          </w:r>
          <w:r>
            <w:rPr>
              <w:rFonts w:hint="eastAsia" w:ascii="仿宋" w:hAnsi="仿宋" w:eastAsia="仿宋" w:cs="仿宋"/>
              <w:color w:val="auto"/>
              <w:sz w:val="28"/>
              <w:szCs w:val="28"/>
              <w:highlight w:val="none"/>
            </w:rPr>
            <w:tab/>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PAGEREF _Toc8513 \h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3</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fldChar w:fldCharType="end"/>
          </w:r>
        </w:p>
        <w:p w14:paraId="3637A4C5">
          <w:pPr>
            <w:pStyle w:val="10"/>
            <w:keepNext w:val="0"/>
            <w:keepLines w:val="0"/>
            <w:pageBreakBefore w:val="0"/>
            <w:tabs>
              <w:tab w:val="right" w:leader="dot" w:pos="8845"/>
            </w:tabs>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HYPERLINK \l _Toc1006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第二章 采购需求</w:t>
          </w:r>
          <w:r>
            <w:rPr>
              <w:rFonts w:hint="eastAsia" w:ascii="仿宋" w:hAnsi="仿宋" w:eastAsia="仿宋" w:cs="仿宋"/>
              <w:color w:val="auto"/>
              <w:sz w:val="28"/>
              <w:szCs w:val="28"/>
              <w:highlight w:val="none"/>
            </w:rPr>
            <w:tab/>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PAGEREF _Toc1006 \h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8</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fldChar w:fldCharType="end"/>
          </w:r>
        </w:p>
        <w:p w14:paraId="1745085E">
          <w:pPr>
            <w:pStyle w:val="10"/>
            <w:keepNext w:val="0"/>
            <w:keepLines w:val="0"/>
            <w:pageBreakBefore w:val="0"/>
            <w:tabs>
              <w:tab w:val="right" w:leader="dot" w:pos="8845"/>
            </w:tabs>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HYPERLINK \l _Toc13834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第三章 投标人须知</w:t>
          </w:r>
          <w:r>
            <w:rPr>
              <w:rFonts w:hint="eastAsia" w:ascii="仿宋" w:hAnsi="仿宋" w:eastAsia="仿宋" w:cs="仿宋"/>
              <w:color w:val="auto"/>
              <w:sz w:val="28"/>
              <w:szCs w:val="28"/>
              <w:highlight w:val="none"/>
            </w:rPr>
            <w:tab/>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PAGEREF _Toc13834 \h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46</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fldChar w:fldCharType="end"/>
          </w:r>
        </w:p>
        <w:p w14:paraId="11BFDF80">
          <w:pPr>
            <w:pStyle w:val="10"/>
            <w:keepNext w:val="0"/>
            <w:keepLines w:val="0"/>
            <w:pageBreakBefore w:val="0"/>
            <w:tabs>
              <w:tab w:val="right" w:leader="dot" w:pos="8845"/>
            </w:tabs>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HYPERLINK \l _Toc5123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第四章 评标</w:t>
          </w:r>
          <w:r>
            <w:rPr>
              <w:rFonts w:hint="eastAsia" w:ascii="仿宋" w:hAnsi="仿宋" w:eastAsia="仿宋" w:cs="仿宋"/>
              <w:color w:val="auto"/>
              <w:sz w:val="28"/>
              <w:szCs w:val="28"/>
              <w:highlight w:val="none"/>
            </w:rPr>
            <w:tab/>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PAGEREF _Toc5123 \h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65</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fldChar w:fldCharType="end"/>
          </w:r>
        </w:p>
        <w:p w14:paraId="44B4154C">
          <w:pPr>
            <w:pStyle w:val="10"/>
            <w:keepNext w:val="0"/>
            <w:keepLines w:val="0"/>
            <w:pageBreakBefore w:val="0"/>
            <w:tabs>
              <w:tab w:val="right" w:leader="dot" w:pos="8845"/>
            </w:tabs>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HYPERLINK \l _Toc21790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第五章 合同文本</w:t>
          </w:r>
          <w:r>
            <w:rPr>
              <w:rFonts w:hint="eastAsia" w:ascii="仿宋" w:hAnsi="仿宋" w:eastAsia="仿宋" w:cs="仿宋"/>
              <w:color w:val="auto"/>
              <w:sz w:val="28"/>
              <w:szCs w:val="28"/>
              <w:highlight w:val="none"/>
            </w:rPr>
            <w:tab/>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PAGEREF _Toc21790 \h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89</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fldChar w:fldCharType="end"/>
          </w:r>
        </w:p>
        <w:p w14:paraId="5498FB9F">
          <w:pPr>
            <w:pStyle w:val="10"/>
            <w:keepNext w:val="0"/>
            <w:keepLines w:val="0"/>
            <w:pageBreakBefore w:val="0"/>
            <w:tabs>
              <w:tab w:val="right" w:leader="dot" w:pos="8845"/>
            </w:tabs>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HYPERLINK \l _Toc6372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第六章 投标文件格式与要求</w:t>
          </w:r>
          <w:r>
            <w:rPr>
              <w:rFonts w:hint="eastAsia" w:ascii="仿宋" w:hAnsi="仿宋" w:eastAsia="仿宋" w:cs="仿宋"/>
              <w:color w:val="auto"/>
              <w:sz w:val="28"/>
              <w:szCs w:val="28"/>
              <w:highlight w:val="none"/>
            </w:rPr>
            <w:tab/>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PAGEREF _Toc6372 \h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125</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fldChar w:fldCharType="end"/>
          </w:r>
        </w:p>
        <w:p w14:paraId="07833E7C">
          <w:pPr>
            <w:keepNext w:val="0"/>
            <w:keepLines w:val="0"/>
            <w:pageBreakBefore w:val="0"/>
            <w:kinsoku/>
            <w:wordWrap/>
            <w:overflowPunct/>
            <w:topLinePunct w:val="0"/>
            <w:autoSpaceDE/>
            <w:autoSpaceDN/>
            <w:bidi w:val="0"/>
            <w:adjustRightInd/>
            <w:snapToGrid/>
            <w:spacing w:line="360" w:lineRule="auto"/>
            <w:textAlignment w:val="auto"/>
            <w:rPr>
              <w:color w:val="auto"/>
              <w:highlight w:val="none"/>
            </w:rPr>
          </w:pPr>
          <w:r>
            <w:rPr>
              <w:color w:val="auto"/>
              <w:sz w:val="28"/>
              <w:szCs w:val="28"/>
              <w:highlight w:val="none"/>
            </w:rPr>
            <w:fldChar w:fldCharType="end"/>
          </w:r>
        </w:p>
      </w:sdtContent>
    </w:sdt>
    <w:p w14:paraId="781F0AD1">
      <w:pPr>
        <w:rPr>
          <w:color w:val="auto"/>
          <w:highlight w:val="none"/>
        </w:rPr>
      </w:pPr>
    </w:p>
    <w:p w14:paraId="27834A96">
      <w:pPr>
        <w:keepNext w:val="0"/>
        <w:keepLines w:val="0"/>
        <w:pageBreakBefore w:val="0"/>
        <w:widowControl w:val="0"/>
        <w:kinsoku/>
        <w:wordWrap/>
        <w:overflowPunct/>
        <w:topLinePunct w:val="0"/>
        <w:autoSpaceDE/>
        <w:autoSpaceDN/>
        <w:bidi w:val="0"/>
        <w:adjustRightInd/>
        <w:snapToGrid/>
        <w:spacing w:before="525" w:beforeLines="100" w:after="525" w:afterLines="100"/>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br w:type="page"/>
      </w:r>
    </w:p>
    <w:p w14:paraId="189B65EC">
      <w:pPr>
        <w:pStyle w:val="2"/>
        <w:bidi w:val="0"/>
        <w:jc w:val="center"/>
        <w:outlineLvl w:val="0"/>
        <w:rPr>
          <w:rFonts w:hint="eastAsia" w:ascii="仿宋" w:hAnsi="仿宋" w:eastAsia="仿宋" w:cs="仿宋"/>
          <w:color w:val="auto"/>
          <w:sz w:val="28"/>
          <w:szCs w:val="28"/>
          <w:highlight w:val="none"/>
        </w:rPr>
      </w:pPr>
      <w:bookmarkStart w:id="7" w:name="_Toc8513"/>
      <w:r>
        <w:rPr>
          <w:rFonts w:hint="eastAsia" w:ascii="仿宋" w:hAnsi="仿宋" w:eastAsia="仿宋" w:cs="仿宋"/>
          <w:color w:val="auto"/>
          <w:sz w:val="28"/>
          <w:szCs w:val="28"/>
          <w:highlight w:val="none"/>
        </w:rPr>
        <w:t>第一章</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投标邀请</w:t>
      </w:r>
      <w:bookmarkEnd w:id="7"/>
    </w:p>
    <w:p w14:paraId="51B20705">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东莞市德晟招标有限公司受</w:t>
      </w:r>
      <w:r>
        <w:rPr>
          <w:rFonts w:hint="eastAsia" w:ascii="仿宋" w:hAnsi="仿宋" w:eastAsia="仿宋" w:cs="仿宋"/>
          <w:color w:val="auto"/>
          <w:sz w:val="28"/>
          <w:szCs w:val="28"/>
          <w:highlight w:val="none"/>
          <w:lang w:eastAsia="zh-CN"/>
        </w:rPr>
        <w:t>东莞市常平镇中心小学</w:t>
      </w:r>
      <w:r>
        <w:rPr>
          <w:rFonts w:hint="eastAsia" w:ascii="仿宋" w:hAnsi="仿宋" w:eastAsia="仿宋" w:cs="仿宋"/>
          <w:color w:val="auto"/>
          <w:sz w:val="28"/>
          <w:szCs w:val="28"/>
          <w:highlight w:val="none"/>
        </w:rPr>
        <w:t>的委托，采用公开招标方式组织采购</w:t>
      </w:r>
      <w:r>
        <w:rPr>
          <w:rFonts w:hint="eastAsia" w:ascii="仿宋" w:hAnsi="仿宋" w:eastAsia="仿宋" w:cs="仿宋"/>
          <w:color w:val="auto"/>
          <w:sz w:val="28"/>
          <w:szCs w:val="28"/>
          <w:highlight w:val="none"/>
          <w:lang w:eastAsia="zh-CN"/>
        </w:rPr>
        <w:t>东莞市常平镇中心小学食堂食材采购项目</w:t>
      </w:r>
      <w:r>
        <w:rPr>
          <w:rFonts w:hint="eastAsia" w:ascii="仿宋" w:hAnsi="仿宋" w:eastAsia="仿宋" w:cs="仿宋"/>
          <w:color w:val="auto"/>
          <w:sz w:val="28"/>
          <w:szCs w:val="28"/>
          <w:highlight w:val="none"/>
        </w:rPr>
        <w:t>。欢迎符合资格条件的国内</w:t>
      </w:r>
      <w:r>
        <w:rPr>
          <w:rFonts w:hint="eastAsia" w:ascii="仿宋" w:hAnsi="仿宋" w:eastAsia="仿宋" w:cs="仿宋"/>
          <w:color w:val="auto"/>
          <w:sz w:val="28"/>
          <w:szCs w:val="28"/>
          <w:highlight w:val="none"/>
          <w:lang w:eastAsia="zh-CN"/>
        </w:rPr>
        <w:t>投标人</w:t>
      </w:r>
      <w:r>
        <w:rPr>
          <w:rFonts w:hint="eastAsia" w:ascii="仿宋" w:hAnsi="仿宋" w:eastAsia="仿宋" w:cs="仿宋"/>
          <w:color w:val="auto"/>
          <w:sz w:val="28"/>
          <w:szCs w:val="28"/>
          <w:highlight w:val="none"/>
        </w:rPr>
        <w:t>参加投标。</w:t>
      </w:r>
    </w:p>
    <w:p w14:paraId="77040BA9">
      <w:pPr>
        <w:pStyle w:val="16"/>
        <w:spacing w:line="360" w:lineRule="auto"/>
        <w:outlineLvl w:val="1"/>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一.项目概述</w:t>
      </w:r>
    </w:p>
    <w:p w14:paraId="585ED96A">
      <w:pPr>
        <w:pStyle w:val="16"/>
        <w:spacing w:line="360" w:lineRule="auto"/>
        <w:outlineLvl w:val="2"/>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1.名称与编号</w:t>
      </w:r>
    </w:p>
    <w:p w14:paraId="17F0FB2B">
      <w:pPr>
        <w:pStyle w:val="16"/>
        <w:spacing w:line="360" w:lineRule="auto"/>
        <w:ind w:firstLine="48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项目名称：</w:t>
      </w:r>
      <w:r>
        <w:rPr>
          <w:rFonts w:hint="eastAsia" w:ascii="仿宋" w:hAnsi="仿宋" w:eastAsia="仿宋" w:cs="仿宋"/>
          <w:color w:val="auto"/>
          <w:sz w:val="28"/>
          <w:szCs w:val="28"/>
          <w:highlight w:val="none"/>
          <w:lang w:eastAsia="zh-CN"/>
        </w:rPr>
        <w:t>东莞市常平镇中心小学食堂食材采购项目</w:t>
      </w:r>
    </w:p>
    <w:p w14:paraId="0066F71F">
      <w:pPr>
        <w:pStyle w:val="16"/>
        <w:spacing w:line="360" w:lineRule="auto"/>
        <w:ind w:firstLine="48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采购计划编号：DSZB25DG005C</w:t>
      </w:r>
    </w:p>
    <w:p w14:paraId="200EB04B">
      <w:pPr>
        <w:pStyle w:val="16"/>
        <w:spacing w:line="360" w:lineRule="auto"/>
        <w:ind w:firstLine="48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采购项目编号：DSZB25DG005C</w:t>
      </w:r>
    </w:p>
    <w:p w14:paraId="7F03D7EC">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采购方式：公开招标</w:t>
      </w:r>
    </w:p>
    <w:p w14:paraId="5529A2B6">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预算金额：</w:t>
      </w:r>
      <w:r>
        <w:rPr>
          <w:rFonts w:hint="eastAsia" w:ascii="仿宋" w:hAnsi="仿宋" w:eastAsia="仿宋" w:cs="仿宋"/>
          <w:color w:val="auto"/>
          <w:sz w:val="28"/>
          <w:szCs w:val="28"/>
          <w:highlight w:val="none"/>
          <w:lang w:val="en-US" w:eastAsia="zh-CN"/>
        </w:rPr>
        <w:t>¥15,500,000.00</w:t>
      </w:r>
      <w:r>
        <w:rPr>
          <w:rFonts w:hint="eastAsia" w:ascii="仿宋" w:hAnsi="仿宋" w:eastAsia="仿宋" w:cs="仿宋"/>
          <w:color w:val="auto"/>
          <w:sz w:val="28"/>
          <w:szCs w:val="28"/>
          <w:highlight w:val="none"/>
        </w:rPr>
        <w:t>元</w:t>
      </w:r>
    </w:p>
    <w:p w14:paraId="6B5528A5">
      <w:pPr>
        <w:pStyle w:val="16"/>
        <w:spacing w:line="360" w:lineRule="auto"/>
        <w:outlineLvl w:val="2"/>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2.项目内容及需求情况（采购项目技术规格、参数及要求）</w:t>
      </w:r>
    </w:p>
    <w:p w14:paraId="379C739A">
      <w:pPr>
        <w:pStyle w:val="16"/>
        <w:spacing w:line="360" w:lineRule="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采购包1</w:t>
      </w:r>
      <w:r>
        <w:rPr>
          <w:rFonts w:hint="eastAsia" w:ascii="仿宋" w:hAnsi="仿宋" w:eastAsia="仿宋" w:cs="仿宋"/>
          <w:b/>
          <w:bCs/>
          <w:color w:val="auto"/>
          <w:sz w:val="28"/>
          <w:szCs w:val="28"/>
          <w:highlight w:val="none"/>
          <w:lang w:eastAsia="zh-CN"/>
        </w:rPr>
        <w:t>（</w:t>
      </w:r>
      <w:r>
        <w:rPr>
          <w:rFonts w:hint="eastAsia" w:ascii="仿宋" w:hAnsi="仿宋" w:eastAsia="仿宋" w:cs="仿宋"/>
          <w:b/>
          <w:bCs/>
          <w:color w:val="auto"/>
          <w:sz w:val="28"/>
          <w:szCs w:val="28"/>
          <w:highlight w:val="none"/>
          <w:lang w:val="en-US" w:eastAsia="zh-CN"/>
        </w:rPr>
        <w:t>蔬菜、鲜肉及水产类食材</w:t>
      </w:r>
      <w:r>
        <w:rPr>
          <w:rFonts w:hint="eastAsia" w:ascii="仿宋" w:hAnsi="仿宋" w:eastAsia="仿宋" w:cs="仿宋"/>
          <w:b/>
          <w:bCs/>
          <w:color w:val="auto"/>
          <w:sz w:val="28"/>
          <w:szCs w:val="28"/>
          <w:highlight w:val="none"/>
          <w:lang w:eastAsia="zh-CN"/>
        </w:rPr>
        <w:t>配送服务）：</w:t>
      </w:r>
    </w:p>
    <w:p w14:paraId="436A7823">
      <w:pPr>
        <w:pStyle w:val="16"/>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采购包预算金额：</w:t>
      </w:r>
      <w:r>
        <w:rPr>
          <w:rFonts w:hint="eastAsia" w:ascii="仿宋" w:hAnsi="仿宋" w:eastAsia="仿宋" w:cs="仿宋"/>
          <w:color w:val="auto"/>
          <w:sz w:val="28"/>
          <w:szCs w:val="28"/>
          <w:highlight w:val="none"/>
          <w:lang w:val="en-US" w:eastAsia="zh-CN"/>
        </w:rPr>
        <w:t>¥10,000,000.00</w:t>
      </w:r>
      <w:r>
        <w:rPr>
          <w:rFonts w:hint="eastAsia" w:ascii="仿宋" w:hAnsi="仿宋" w:eastAsia="仿宋" w:cs="仿宋"/>
          <w:color w:val="auto"/>
          <w:sz w:val="28"/>
          <w:szCs w:val="28"/>
          <w:highlight w:val="none"/>
        </w:rPr>
        <w:t>元</w:t>
      </w:r>
    </w:p>
    <w:tbl>
      <w:tblPr>
        <w:tblStyle w:val="12"/>
        <w:tblW w:w="4997"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21"/>
        <w:gridCol w:w="1082"/>
        <w:gridCol w:w="2334"/>
        <w:gridCol w:w="1716"/>
        <w:gridCol w:w="1700"/>
        <w:gridCol w:w="1403"/>
      </w:tblGrid>
      <w:tr w14:paraId="37AE57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53" w:type="pct"/>
            <w:vAlign w:val="center"/>
          </w:tcPr>
          <w:p w14:paraId="2B547A93">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品目号</w:t>
            </w:r>
          </w:p>
        </w:tc>
        <w:tc>
          <w:tcPr>
            <w:tcW w:w="597" w:type="pct"/>
            <w:vAlign w:val="center"/>
          </w:tcPr>
          <w:p w14:paraId="3BF8630F">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品目名称</w:t>
            </w:r>
          </w:p>
        </w:tc>
        <w:tc>
          <w:tcPr>
            <w:tcW w:w="1288" w:type="pct"/>
            <w:vAlign w:val="center"/>
          </w:tcPr>
          <w:p w14:paraId="293D9F1B">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采购标的</w:t>
            </w:r>
          </w:p>
        </w:tc>
        <w:tc>
          <w:tcPr>
            <w:tcW w:w="947" w:type="pct"/>
            <w:vAlign w:val="center"/>
          </w:tcPr>
          <w:p w14:paraId="3A6AA5FF">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数量（单位）</w:t>
            </w:r>
          </w:p>
        </w:tc>
        <w:tc>
          <w:tcPr>
            <w:tcW w:w="938" w:type="pct"/>
            <w:vAlign w:val="center"/>
          </w:tcPr>
          <w:p w14:paraId="77613492">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技术规格、参数及要求</w:t>
            </w:r>
          </w:p>
        </w:tc>
        <w:tc>
          <w:tcPr>
            <w:tcW w:w="774" w:type="pct"/>
            <w:vAlign w:val="center"/>
          </w:tcPr>
          <w:p w14:paraId="2FA4D594">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是否允许进口产品</w:t>
            </w:r>
          </w:p>
        </w:tc>
      </w:tr>
      <w:tr w14:paraId="66F862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53" w:type="pct"/>
            <w:vAlign w:val="center"/>
          </w:tcPr>
          <w:p w14:paraId="15234254">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1-1</w:t>
            </w:r>
          </w:p>
        </w:tc>
        <w:tc>
          <w:tcPr>
            <w:tcW w:w="597" w:type="pct"/>
            <w:vAlign w:val="center"/>
          </w:tcPr>
          <w:p w14:paraId="6F61E66E">
            <w:pPr>
              <w:pStyle w:val="16"/>
              <w:spacing w:line="360" w:lineRule="auto"/>
              <w:jc w:val="center"/>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val="en-US" w:eastAsia="zh-CN"/>
              </w:rPr>
              <w:t>其他</w:t>
            </w:r>
            <w:r>
              <w:rPr>
                <w:rFonts w:hint="eastAsia" w:ascii="仿宋" w:hAnsi="仿宋" w:eastAsia="仿宋" w:cs="仿宋"/>
                <w:color w:val="auto"/>
                <w:sz w:val="28"/>
                <w:szCs w:val="28"/>
                <w:highlight w:val="none"/>
                <w:lang w:eastAsia="zh-CN"/>
              </w:rPr>
              <w:t>批发服务</w:t>
            </w:r>
          </w:p>
        </w:tc>
        <w:tc>
          <w:tcPr>
            <w:tcW w:w="1288" w:type="pct"/>
            <w:vAlign w:val="center"/>
          </w:tcPr>
          <w:p w14:paraId="4A881934">
            <w:pPr>
              <w:pStyle w:val="16"/>
              <w:spacing w:line="360" w:lineRule="auto"/>
              <w:jc w:val="center"/>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蔬菜、鲜肉及水产类食材配送服务</w:t>
            </w:r>
          </w:p>
        </w:tc>
        <w:tc>
          <w:tcPr>
            <w:tcW w:w="947" w:type="pct"/>
            <w:vAlign w:val="center"/>
          </w:tcPr>
          <w:p w14:paraId="7B198417">
            <w:pPr>
              <w:pStyle w:val="16"/>
              <w:spacing w:line="360" w:lineRule="auto"/>
              <w:jc w:val="center"/>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项</w:t>
            </w:r>
            <w:r>
              <w:rPr>
                <w:rFonts w:hint="eastAsia" w:ascii="仿宋" w:hAnsi="仿宋" w:eastAsia="仿宋" w:cs="仿宋"/>
                <w:color w:val="auto"/>
                <w:sz w:val="28"/>
                <w:szCs w:val="28"/>
                <w:highlight w:val="none"/>
                <w:lang w:eastAsia="zh-CN"/>
              </w:rPr>
              <w:t>）</w:t>
            </w:r>
          </w:p>
        </w:tc>
        <w:tc>
          <w:tcPr>
            <w:tcW w:w="938" w:type="pct"/>
            <w:vAlign w:val="center"/>
          </w:tcPr>
          <w:p w14:paraId="6FF1315F">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详见第二章</w:t>
            </w:r>
          </w:p>
        </w:tc>
        <w:tc>
          <w:tcPr>
            <w:tcW w:w="774" w:type="pct"/>
            <w:vAlign w:val="center"/>
          </w:tcPr>
          <w:p w14:paraId="086F4BB2">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否</w:t>
            </w:r>
          </w:p>
        </w:tc>
      </w:tr>
    </w:tbl>
    <w:p w14:paraId="308E4D65">
      <w:pPr>
        <w:pStyle w:val="16"/>
        <w:spacing w:line="360" w:lineRule="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本采购包不接受联合体投标</w:t>
      </w:r>
      <w:r>
        <w:rPr>
          <w:rFonts w:hint="eastAsia" w:ascii="仿宋" w:hAnsi="仿宋" w:eastAsia="仿宋" w:cs="仿宋"/>
          <w:color w:val="auto"/>
          <w:sz w:val="28"/>
          <w:szCs w:val="28"/>
          <w:highlight w:val="none"/>
          <w:lang w:eastAsia="zh-CN"/>
        </w:rPr>
        <w:t>。</w:t>
      </w:r>
    </w:p>
    <w:p w14:paraId="4663B688">
      <w:pPr>
        <w:pStyle w:val="16"/>
        <w:spacing w:line="360" w:lineRule="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合同分包：不允许合同分包</w:t>
      </w:r>
      <w:r>
        <w:rPr>
          <w:rFonts w:hint="eastAsia" w:ascii="仿宋" w:hAnsi="仿宋" w:eastAsia="仿宋" w:cs="仿宋"/>
          <w:color w:val="auto"/>
          <w:sz w:val="28"/>
          <w:szCs w:val="28"/>
          <w:highlight w:val="none"/>
          <w:lang w:eastAsia="zh-CN"/>
        </w:rPr>
        <w:t>。</w:t>
      </w:r>
    </w:p>
    <w:p w14:paraId="5AA409C1">
      <w:pPr>
        <w:pStyle w:val="16"/>
        <w:keepNext w:val="0"/>
        <w:keepLines w:val="0"/>
        <w:pageBreakBefore w:val="0"/>
        <w:widowControl/>
        <w:kinsoku/>
        <w:wordWrap w:val="0"/>
        <w:overflowPunct/>
        <w:topLinePunct w:val="0"/>
        <w:autoSpaceDE/>
        <w:autoSpaceDN/>
        <w:bidi w:val="0"/>
        <w:adjustRightInd/>
        <w:snapToGrid/>
        <w:spacing w:line="360" w:lineRule="auto"/>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合同履行期限：自合同签订之日起</w:t>
      </w:r>
      <w:r>
        <w:rPr>
          <w:rFonts w:hint="eastAsia" w:ascii="仿宋" w:hAnsi="仿宋" w:eastAsia="仿宋" w:cs="仿宋"/>
          <w:color w:val="auto"/>
          <w:sz w:val="28"/>
          <w:szCs w:val="28"/>
          <w:highlight w:val="none"/>
          <w:lang w:val="en-US" w:eastAsia="zh-CN"/>
        </w:rPr>
        <w:t>3年或本采购包预算金额（¥10,000,000.00）使用完毕，以其中一项先到达的为止</w:t>
      </w:r>
      <w:r>
        <w:rPr>
          <w:rFonts w:hint="eastAsia" w:ascii="仿宋" w:hAnsi="仿宋" w:eastAsia="仿宋" w:cs="仿宋"/>
          <w:color w:val="auto"/>
          <w:sz w:val="28"/>
          <w:szCs w:val="28"/>
          <w:highlight w:val="none"/>
        </w:rPr>
        <w:t>。</w:t>
      </w:r>
    </w:p>
    <w:p w14:paraId="1CCAE97B">
      <w:pPr>
        <w:pStyle w:val="16"/>
        <w:spacing w:line="360" w:lineRule="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采购包</w:t>
      </w:r>
      <w:r>
        <w:rPr>
          <w:rFonts w:hint="eastAsia" w:ascii="仿宋" w:hAnsi="仿宋" w:eastAsia="仿宋" w:cs="仿宋"/>
          <w:b/>
          <w:bCs/>
          <w:color w:val="auto"/>
          <w:sz w:val="28"/>
          <w:szCs w:val="28"/>
          <w:highlight w:val="none"/>
          <w:lang w:val="en-US" w:eastAsia="zh-CN"/>
        </w:rPr>
        <w:t>2</w:t>
      </w:r>
      <w:r>
        <w:rPr>
          <w:rFonts w:hint="eastAsia" w:ascii="仿宋" w:hAnsi="仿宋" w:eastAsia="仿宋" w:cs="仿宋"/>
          <w:b/>
          <w:bCs/>
          <w:color w:val="auto"/>
          <w:sz w:val="28"/>
          <w:szCs w:val="28"/>
          <w:highlight w:val="none"/>
          <w:lang w:eastAsia="zh-CN"/>
        </w:rPr>
        <w:t>（干货调料、包点、蛋品及冰鲜类食材配送服务）：</w:t>
      </w:r>
    </w:p>
    <w:p w14:paraId="600F1575">
      <w:pPr>
        <w:pStyle w:val="16"/>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采购包预算金额：</w:t>
      </w:r>
      <w:r>
        <w:rPr>
          <w:rFonts w:hint="eastAsia" w:ascii="仿宋" w:hAnsi="仿宋" w:eastAsia="仿宋" w:cs="仿宋"/>
          <w:color w:val="auto"/>
          <w:sz w:val="28"/>
          <w:szCs w:val="28"/>
          <w:highlight w:val="none"/>
          <w:lang w:val="en-US" w:eastAsia="zh-CN"/>
        </w:rPr>
        <w:t>¥5,500,000.00</w:t>
      </w:r>
      <w:r>
        <w:rPr>
          <w:rFonts w:hint="eastAsia" w:ascii="仿宋" w:hAnsi="仿宋" w:eastAsia="仿宋" w:cs="仿宋"/>
          <w:color w:val="auto"/>
          <w:sz w:val="28"/>
          <w:szCs w:val="28"/>
          <w:highlight w:val="none"/>
        </w:rPr>
        <w:t>元</w:t>
      </w:r>
    </w:p>
    <w:tbl>
      <w:tblPr>
        <w:tblStyle w:val="12"/>
        <w:tblW w:w="4997"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19"/>
        <w:gridCol w:w="1232"/>
        <w:gridCol w:w="2187"/>
        <w:gridCol w:w="1734"/>
        <w:gridCol w:w="1667"/>
        <w:gridCol w:w="1417"/>
      </w:tblGrid>
      <w:tr w14:paraId="7E723C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52" w:type="pct"/>
            <w:vAlign w:val="center"/>
          </w:tcPr>
          <w:p w14:paraId="3AE684D7">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品目号</w:t>
            </w:r>
          </w:p>
        </w:tc>
        <w:tc>
          <w:tcPr>
            <w:tcW w:w="680" w:type="pct"/>
            <w:vAlign w:val="center"/>
          </w:tcPr>
          <w:p w14:paraId="6223B413">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品目名称</w:t>
            </w:r>
          </w:p>
        </w:tc>
        <w:tc>
          <w:tcPr>
            <w:tcW w:w="1207" w:type="pct"/>
            <w:vAlign w:val="center"/>
          </w:tcPr>
          <w:p w14:paraId="0E395B51">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采购标的</w:t>
            </w:r>
          </w:p>
        </w:tc>
        <w:tc>
          <w:tcPr>
            <w:tcW w:w="957" w:type="pct"/>
            <w:vAlign w:val="center"/>
          </w:tcPr>
          <w:p w14:paraId="3C14846C">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数量（单位）</w:t>
            </w:r>
          </w:p>
        </w:tc>
        <w:tc>
          <w:tcPr>
            <w:tcW w:w="920" w:type="pct"/>
            <w:vAlign w:val="center"/>
          </w:tcPr>
          <w:p w14:paraId="5CAF1B48">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技术规格、参数及要求</w:t>
            </w:r>
          </w:p>
        </w:tc>
        <w:tc>
          <w:tcPr>
            <w:tcW w:w="782" w:type="pct"/>
            <w:vAlign w:val="center"/>
          </w:tcPr>
          <w:p w14:paraId="3CDBF48F">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是否允许进口产品</w:t>
            </w:r>
          </w:p>
        </w:tc>
      </w:tr>
      <w:tr w14:paraId="7831B9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52" w:type="pct"/>
            <w:vAlign w:val="center"/>
          </w:tcPr>
          <w:p w14:paraId="0A559421">
            <w:pPr>
              <w:pStyle w:val="16"/>
              <w:spacing w:line="360" w:lineRule="auto"/>
              <w:jc w:val="center"/>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2-1</w:t>
            </w:r>
          </w:p>
        </w:tc>
        <w:tc>
          <w:tcPr>
            <w:tcW w:w="680" w:type="pct"/>
            <w:vAlign w:val="center"/>
          </w:tcPr>
          <w:p w14:paraId="56A66CFB">
            <w:pPr>
              <w:pStyle w:val="16"/>
              <w:spacing w:line="360" w:lineRule="auto"/>
              <w:jc w:val="center"/>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val="en-US" w:eastAsia="zh-CN"/>
              </w:rPr>
              <w:t>其他</w:t>
            </w:r>
            <w:r>
              <w:rPr>
                <w:rFonts w:hint="eastAsia" w:ascii="仿宋" w:hAnsi="仿宋" w:eastAsia="仿宋" w:cs="仿宋"/>
                <w:color w:val="auto"/>
                <w:sz w:val="28"/>
                <w:szCs w:val="28"/>
                <w:highlight w:val="none"/>
                <w:lang w:eastAsia="zh-CN"/>
              </w:rPr>
              <w:t>批发服务</w:t>
            </w:r>
          </w:p>
        </w:tc>
        <w:tc>
          <w:tcPr>
            <w:tcW w:w="1207" w:type="pct"/>
            <w:vAlign w:val="center"/>
          </w:tcPr>
          <w:p w14:paraId="1D7CF859">
            <w:pPr>
              <w:pStyle w:val="16"/>
              <w:spacing w:line="360" w:lineRule="auto"/>
              <w:jc w:val="center"/>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val="en-US" w:eastAsia="zh-CN"/>
              </w:rPr>
              <w:t>干货调料、包点、蛋品及冰鲜类食材配送服务</w:t>
            </w:r>
          </w:p>
        </w:tc>
        <w:tc>
          <w:tcPr>
            <w:tcW w:w="957" w:type="pct"/>
            <w:vAlign w:val="center"/>
          </w:tcPr>
          <w:p w14:paraId="3BCD65DF">
            <w:pPr>
              <w:pStyle w:val="16"/>
              <w:spacing w:line="360" w:lineRule="auto"/>
              <w:jc w:val="center"/>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项</w:t>
            </w:r>
            <w:r>
              <w:rPr>
                <w:rFonts w:hint="eastAsia" w:ascii="仿宋" w:hAnsi="仿宋" w:eastAsia="仿宋" w:cs="仿宋"/>
                <w:color w:val="auto"/>
                <w:sz w:val="28"/>
                <w:szCs w:val="28"/>
                <w:highlight w:val="none"/>
                <w:lang w:eastAsia="zh-CN"/>
              </w:rPr>
              <w:t>）</w:t>
            </w:r>
          </w:p>
        </w:tc>
        <w:tc>
          <w:tcPr>
            <w:tcW w:w="920" w:type="pct"/>
            <w:vAlign w:val="center"/>
          </w:tcPr>
          <w:p w14:paraId="78042BA8">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详见第二章</w:t>
            </w:r>
          </w:p>
        </w:tc>
        <w:tc>
          <w:tcPr>
            <w:tcW w:w="782" w:type="pct"/>
            <w:vAlign w:val="center"/>
          </w:tcPr>
          <w:p w14:paraId="73B3CEFD">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否</w:t>
            </w:r>
          </w:p>
        </w:tc>
      </w:tr>
    </w:tbl>
    <w:p w14:paraId="19FFE406">
      <w:pPr>
        <w:pStyle w:val="16"/>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本采购包不接受联合体投标</w:t>
      </w:r>
    </w:p>
    <w:p w14:paraId="1CC90F6D">
      <w:pPr>
        <w:pStyle w:val="16"/>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合同分包：不允许合同分包</w:t>
      </w:r>
    </w:p>
    <w:p w14:paraId="1587ED50">
      <w:pPr>
        <w:pStyle w:val="16"/>
        <w:keepNext w:val="0"/>
        <w:keepLines w:val="0"/>
        <w:pageBreakBefore w:val="0"/>
        <w:widowControl/>
        <w:kinsoku/>
        <w:wordWrap w:val="0"/>
        <w:overflowPunct/>
        <w:topLinePunct w:val="0"/>
        <w:autoSpaceDE/>
        <w:autoSpaceDN/>
        <w:bidi w:val="0"/>
        <w:adjustRightInd/>
        <w:snapToGrid/>
        <w:spacing w:line="360" w:lineRule="auto"/>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合同履行期限：自合同签订之日起</w:t>
      </w:r>
      <w:r>
        <w:rPr>
          <w:rFonts w:hint="eastAsia" w:ascii="仿宋" w:hAnsi="仿宋" w:eastAsia="仿宋" w:cs="仿宋"/>
          <w:color w:val="auto"/>
          <w:sz w:val="28"/>
          <w:szCs w:val="28"/>
          <w:highlight w:val="none"/>
          <w:lang w:val="en-US" w:eastAsia="zh-CN"/>
        </w:rPr>
        <w:t>3年或本采购包预算金额（¥5,500,000.00）使用完毕，以其中一项先到达的为止</w:t>
      </w:r>
      <w:r>
        <w:rPr>
          <w:rFonts w:hint="eastAsia" w:ascii="仿宋" w:hAnsi="仿宋" w:eastAsia="仿宋" w:cs="仿宋"/>
          <w:color w:val="auto"/>
          <w:sz w:val="28"/>
          <w:szCs w:val="28"/>
          <w:highlight w:val="none"/>
        </w:rPr>
        <w:t>。</w:t>
      </w:r>
    </w:p>
    <w:p w14:paraId="161F77AF">
      <w:pPr>
        <w:pStyle w:val="16"/>
        <w:spacing w:line="360" w:lineRule="auto"/>
        <w:outlineLvl w:val="1"/>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二.投标人的资格要求</w:t>
      </w:r>
    </w:p>
    <w:p w14:paraId="237BD96B">
      <w:pPr>
        <w:pStyle w:val="16"/>
        <w:spacing w:line="360" w:lineRule="auto"/>
        <w:outlineLvl w:val="2"/>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1.投标人应具备《中华人民共和国政府采购法》第二十二条规定的条件，提供下列材料：</w:t>
      </w:r>
    </w:p>
    <w:p w14:paraId="66941CD2">
      <w:pPr>
        <w:pStyle w:val="16"/>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14:paraId="0F9FA802">
      <w:pPr>
        <w:pStyle w:val="16"/>
        <w:spacing w:line="360" w:lineRule="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2）有依法缴纳税收和社会保障资金的良好记录：提供《资格声明函》</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格式参考附件23。</w:t>
      </w:r>
    </w:p>
    <w:p w14:paraId="287C8F2F">
      <w:pPr>
        <w:pStyle w:val="16"/>
        <w:spacing w:line="360" w:lineRule="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3）具有良好的商业信誉和健全的财务会计制度：提供《资格声明函》</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格式参考附件23。</w:t>
      </w:r>
    </w:p>
    <w:p w14:paraId="6B7C79CA">
      <w:pPr>
        <w:pStyle w:val="16"/>
        <w:spacing w:line="360" w:lineRule="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4）履行合同所必需的设备和专业技术能力：提供《资格声明函》</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格式参考附件23。</w:t>
      </w:r>
    </w:p>
    <w:p w14:paraId="6424E0CA">
      <w:pPr>
        <w:pStyle w:val="16"/>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5）参加采购活动前3年内，在经营活动中没有重大违法记录：提供《资格声明函》</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格式参考附件23。</w:t>
      </w:r>
      <w:r>
        <w:rPr>
          <w:rFonts w:hint="eastAsia" w:ascii="仿宋" w:hAnsi="仿宋" w:eastAsia="仿宋" w:cs="仿宋"/>
          <w:color w:val="auto"/>
          <w:sz w:val="28"/>
          <w:szCs w:val="28"/>
          <w:highlight w:val="none"/>
        </w:rPr>
        <w:t>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r>
        <w:rPr>
          <w:rFonts w:hint="eastAsia" w:ascii="仿宋" w:hAnsi="仿宋" w:eastAsia="仿宋" w:cs="仿宋"/>
          <w:color w:val="auto"/>
          <w:sz w:val="28"/>
          <w:szCs w:val="28"/>
          <w:highlight w:val="none"/>
          <w:lang w:eastAsia="zh-CN"/>
        </w:rPr>
        <w:t>。</w:t>
      </w:r>
    </w:p>
    <w:p w14:paraId="0A43B581">
      <w:pPr>
        <w:pStyle w:val="16"/>
        <w:spacing w:line="360" w:lineRule="auto"/>
        <w:outlineLvl w:val="2"/>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2.落实政府采购政策需满足的资格要求：</w:t>
      </w:r>
    </w:p>
    <w:p w14:paraId="64DFC67E">
      <w:pPr>
        <w:pStyle w:val="16"/>
        <w:spacing w:line="360" w:lineRule="auto"/>
        <w:jc w:val="left"/>
        <w:rPr>
          <w:rFonts w:hint="eastAsia" w:ascii="仿宋" w:hAnsi="仿宋" w:eastAsia="仿宋" w:cs="仿宋"/>
          <w:color w:val="auto"/>
          <w:sz w:val="28"/>
          <w:szCs w:val="28"/>
          <w:highlight w:val="none"/>
          <w:lang w:val="en-US" w:eastAsia="zh-CN"/>
        </w:rPr>
      </w:pPr>
      <w:r>
        <w:rPr>
          <w:rFonts w:hint="eastAsia" w:ascii="仿宋" w:hAnsi="仿宋" w:eastAsia="仿宋" w:cs="仿宋"/>
          <w:b/>
          <w:bCs/>
          <w:color w:val="auto"/>
          <w:sz w:val="28"/>
          <w:szCs w:val="28"/>
          <w:highlight w:val="none"/>
        </w:rPr>
        <w:t>采购包1（</w:t>
      </w:r>
      <w:r>
        <w:rPr>
          <w:rFonts w:hint="eastAsia" w:ascii="仿宋" w:hAnsi="仿宋" w:eastAsia="仿宋" w:cs="仿宋"/>
          <w:b/>
          <w:bCs/>
          <w:color w:val="auto"/>
          <w:sz w:val="28"/>
          <w:szCs w:val="28"/>
          <w:highlight w:val="none"/>
          <w:lang w:eastAsia="zh-CN"/>
        </w:rPr>
        <w:t>蔬菜、鲜肉及水产类食材配送服务</w:t>
      </w:r>
      <w:r>
        <w:rPr>
          <w:rFonts w:hint="eastAsia" w:ascii="仿宋" w:hAnsi="仿宋" w:eastAsia="仿宋" w:cs="仿宋"/>
          <w:b/>
          <w:bCs/>
          <w:color w:val="auto"/>
          <w:sz w:val="28"/>
          <w:szCs w:val="28"/>
          <w:highlight w:val="none"/>
        </w:rPr>
        <w:t>）：</w:t>
      </w:r>
      <w:r>
        <w:rPr>
          <w:rFonts w:hint="eastAsia" w:ascii="仿宋" w:hAnsi="仿宋" w:eastAsia="仿宋" w:cs="仿宋"/>
          <w:color w:val="auto"/>
          <w:sz w:val="28"/>
          <w:szCs w:val="28"/>
          <w:highlight w:val="none"/>
          <w:lang w:val="en-US" w:eastAsia="zh-CN"/>
        </w:rPr>
        <w:t>本采购包不专门面向中小企业采购。</w:t>
      </w:r>
    </w:p>
    <w:p w14:paraId="0925A6ED">
      <w:pPr>
        <w:pStyle w:val="16"/>
        <w:spacing w:line="360" w:lineRule="auto"/>
        <w:jc w:val="left"/>
        <w:rPr>
          <w:rFonts w:hint="eastAsia" w:ascii="仿宋" w:hAnsi="仿宋" w:eastAsia="仿宋" w:cs="仿宋"/>
          <w:color w:val="auto"/>
          <w:sz w:val="28"/>
          <w:szCs w:val="28"/>
          <w:highlight w:val="none"/>
          <w:lang w:val="en-US" w:eastAsia="zh-CN"/>
        </w:rPr>
      </w:pPr>
      <w:r>
        <w:rPr>
          <w:rFonts w:hint="eastAsia" w:ascii="仿宋" w:hAnsi="仿宋" w:eastAsia="仿宋" w:cs="仿宋"/>
          <w:b/>
          <w:bCs/>
          <w:color w:val="auto"/>
          <w:sz w:val="28"/>
          <w:szCs w:val="28"/>
          <w:highlight w:val="none"/>
        </w:rPr>
        <w:t>采购包</w:t>
      </w:r>
      <w:r>
        <w:rPr>
          <w:rFonts w:hint="eastAsia" w:ascii="仿宋" w:hAnsi="仿宋" w:eastAsia="仿宋" w:cs="仿宋"/>
          <w:b/>
          <w:bCs/>
          <w:color w:val="auto"/>
          <w:sz w:val="28"/>
          <w:szCs w:val="28"/>
          <w:highlight w:val="none"/>
          <w:lang w:val="en-US" w:eastAsia="zh-CN"/>
        </w:rPr>
        <w:t>2</w:t>
      </w:r>
      <w:r>
        <w:rPr>
          <w:rFonts w:hint="eastAsia" w:ascii="仿宋" w:hAnsi="仿宋" w:eastAsia="仿宋" w:cs="仿宋"/>
          <w:b/>
          <w:bCs/>
          <w:color w:val="auto"/>
          <w:sz w:val="28"/>
          <w:szCs w:val="28"/>
          <w:highlight w:val="none"/>
        </w:rPr>
        <w:t>（</w:t>
      </w:r>
      <w:r>
        <w:rPr>
          <w:rFonts w:hint="eastAsia" w:ascii="仿宋" w:hAnsi="仿宋" w:eastAsia="仿宋" w:cs="仿宋"/>
          <w:b/>
          <w:bCs/>
          <w:color w:val="auto"/>
          <w:sz w:val="28"/>
          <w:szCs w:val="28"/>
          <w:highlight w:val="none"/>
          <w:lang w:val="en-US" w:eastAsia="zh-CN"/>
        </w:rPr>
        <w:t>干货调料、包点、蛋品及冰鲜类食材配送服务</w:t>
      </w:r>
      <w:r>
        <w:rPr>
          <w:rFonts w:hint="eastAsia" w:ascii="仿宋" w:hAnsi="仿宋" w:eastAsia="仿宋" w:cs="仿宋"/>
          <w:b/>
          <w:bCs/>
          <w:color w:val="auto"/>
          <w:sz w:val="28"/>
          <w:szCs w:val="28"/>
          <w:highlight w:val="none"/>
        </w:rPr>
        <w:t>）：</w:t>
      </w:r>
      <w:r>
        <w:rPr>
          <w:rFonts w:hint="eastAsia" w:ascii="仿宋" w:hAnsi="仿宋" w:eastAsia="仿宋" w:cs="仿宋"/>
          <w:color w:val="auto"/>
          <w:sz w:val="28"/>
          <w:szCs w:val="28"/>
          <w:highlight w:val="none"/>
          <w:lang w:val="en-US" w:eastAsia="zh-CN"/>
        </w:rPr>
        <w:t>本采购包不专门面向中小企业采购。</w:t>
      </w:r>
    </w:p>
    <w:p w14:paraId="232D3DE8">
      <w:pPr>
        <w:pStyle w:val="16"/>
        <w:spacing w:line="360" w:lineRule="auto"/>
        <w:outlineLvl w:val="2"/>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3.本项目特定的资格要求：</w:t>
      </w:r>
    </w:p>
    <w:p w14:paraId="2A17787B">
      <w:pPr>
        <w:pStyle w:val="16"/>
        <w:spacing w:line="360" w:lineRule="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采购包1（</w:t>
      </w:r>
      <w:r>
        <w:rPr>
          <w:rFonts w:hint="eastAsia" w:ascii="仿宋" w:hAnsi="仿宋" w:eastAsia="仿宋" w:cs="仿宋"/>
          <w:b/>
          <w:bCs/>
          <w:color w:val="auto"/>
          <w:sz w:val="28"/>
          <w:szCs w:val="28"/>
          <w:highlight w:val="none"/>
          <w:lang w:eastAsia="zh-CN"/>
        </w:rPr>
        <w:t>蔬菜、鲜肉及水产类食材配送服务</w:t>
      </w:r>
      <w:r>
        <w:rPr>
          <w:rFonts w:hint="eastAsia" w:ascii="仿宋" w:hAnsi="仿宋" w:eastAsia="仿宋" w:cs="仿宋"/>
          <w:b/>
          <w:bCs/>
          <w:color w:val="auto"/>
          <w:sz w:val="28"/>
          <w:szCs w:val="28"/>
          <w:highlight w:val="none"/>
        </w:rPr>
        <w:t>）：</w:t>
      </w:r>
    </w:p>
    <w:p w14:paraId="1A7C6558">
      <w:pPr>
        <w:pStyle w:val="16"/>
        <w:keepNext w:val="0"/>
        <w:keepLines w:val="0"/>
        <w:pageBreakBefore w:val="0"/>
        <w:widowControl/>
        <w:kinsoku/>
        <w:wordWrap w:val="0"/>
        <w:overflowPunct/>
        <w:topLinePunct w:val="0"/>
        <w:autoSpaceDE/>
        <w:autoSpaceDN/>
        <w:bidi w:val="0"/>
        <w:adjustRightInd/>
        <w:snapToGrid/>
        <w:spacing w:line="360" w:lineRule="auto"/>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供应商未被列入“信用中国”网站</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www.creditchina.gov.cn</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“记录失信被执行人或重大税收违法案件当事人名单或政府采购严重违法失信行为”记录名单；不处于中国政府采购网</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www.ccgp.gov.cn</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14:paraId="7D6BCE30">
      <w:pPr>
        <w:pStyle w:val="16"/>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单位负责人为同一人或者存在直接控股、管理关系的不同供应商，不得同时参加本采购项目（或采购包）投标（响应）。为本项目提供整体设计、规范编制或者项目管理、监理、检测等服务的供应商，不得再参与本项目投标（响应）。</w:t>
      </w:r>
    </w:p>
    <w:p w14:paraId="3E2CEB19">
      <w:pPr>
        <w:pStyle w:val="16"/>
        <w:spacing w:line="360" w:lineRule="auto"/>
        <w:rPr>
          <w:rFonts w:hint="default" w:ascii="仿宋" w:hAnsi="仿宋" w:eastAsia="仿宋" w:cs="仿宋"/>
          <w:color w:val="auto"/>
          <w:sz w:val="28"/>
          <w:szCs w:val="28"/>
          <w:highlight w:val="none"/>
          <w:lang w:val="en-US"/>
        </w:rPr>
      </w:pPr>
      <w:r>
        <w:rPr>
          <w:rFonts w:hint="eastAsia" w:ascii="仿宋" w:hAnsi="仿宋" w:eastAsia="仿宋" w:cs="仿宋"/>
          <w:color w:val="auto"/>
          <w:sz w:val="28"/>
          <w:szCs w:val="28"/>
          <w:highlight w:val="none"/>
          <w:lang w:val="en-US" w:eastAsia="zh-CN"/>
        </w:rPr>
        <w:t>3</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投标人具有行政主管部门颁发的有效的《食品经营许可证》或《食品生产许可证》（注：1.须提供许可证复印件并加盖投标人公章；2.国家或省、自治区、直辖市另有规定的，则适用其规定，须提供相关证明材料并加盖投标人公章）。</w:t>
      </w:r>
    </w:p>
    <w:p w14:paraId="006B69D4">
      <w:pPr>
        <w:pStyle w:val="16"/>
        <w:spacing w:line="360" w:lineRule="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采购包</w:t>
      </w:r>
      <w:r>
        <w:rPr>
          <w:rFonts w:hint="eastAsia" w:ascii="仿宋" w:hAnsi="仿宋" w:eastAsia="仿宋" w:cs="仿宋"/>
          <w:b/>
          <w:bCs/>
          <w:color w:val="auto"/>
          <w:sz w:val="28"/>
          <w:szCs w:val="28"/>
          <w:highlight w:val="none"/>
          <w:lang w:val="en-US" w:eastAsia="zh-CN"/>
        </w:rPr>
        <w:t>2</w:t>
      </w:r>
      <w:r>
        <w:rPr>
          <w:rFonts w:hint="eastAsia" w:ascii="仿宋" w:hAnsi="仿宋" w:eastAsia="仿宋" w:cs="仿宋"/>
          <w:b/>
          <w:bCs/>
          <w:color w:val="auto"/>
          <w:sz w:val="28"/>
          <w:szCs w:val="28"/>
          <w:highlight w:val="none"/>
        </w:rPr>
        <w:t>（</w:t>
      </w:r>
      <w:r>
        <w:rPr>
          <w:rFonts w:hint="eastAsia" w:ascii="仿宋" w:hAnsi="仿宋" w:eastAsia="仿宋" w:cs="仿宋"/>
          <w:b/>
          <w:bCs/>
          <w:color w:val="auto"/>
          <w:sz w:val="28"/>
          <w:szCs w:val="28"/>
          <w:highlight w:val="none"/>
          <w:lang w:val="en-US" w:eastAsia="zh-CN"/>
        </w:rPr>
        <w:t>干货调料、包点、蛋品及冰鲜类食材配送服务</w:t>
      </w:r>
      <w:r>
        <w:rPr>
          <w:rFonts w:hint="eastAsia" w:ascii="仿宋" w:hAnsi="仿宋" w:eastAsia="仿宋" w:cs="仿宋"/>
          <w:b/>
          <w:bCs/>
          <w:color w:val="auto"/>
          <w:sz w:val="28"/>
          <w:szCs w:val="28"/>
          <w:highlight w:val="none"/>
        </w:rPr>
        <w:t>）：</w:t>
      </w:r>
    </w:p>
    <w:p w14:paraId="2B10EAE7">
      <w:pPr>
        <w:pStyle w:val="16"/>
        <w:keepNext w:val="0"/>
        <w:keepLines w:val="0"/>
        <w:pageBreakBefore w:val="0"/>
        <w:widowControl/>
        <w:kinsoku/>
        <w:wordWrap w:val="0"/>
        <w:overflowPunct/>
        <w:topLinePunct w:val="0"/>
        <w:autoSpaceDE/>
        <w:autoSpaceDN/>
        <w:bidi w:val="0"/>
        <w:adjustRightInd/>
        <w:snapToGrid/>
        <w:spacing w:line="360" w:lineRule="auto"/>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供应商未被列入“信用中国”网站</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www.creditchina.gov.cn</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“记录失信被执行人或重大税收违法案件当事人名单或政府采购严重违法失信行为”记录名单；不处于中国政府采购网</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www.ccgp.gov.cn</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14:paraId="2C7A5874">
      <w:pPr>
        <w:pStyle w:val="16"/>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单位负责人为同一人或者存在直接控股、管理关系的不同供应商，不得同时参加本采购项目（或采购包）投标（响应）。为本项目提供整体设计、规范编制或者项目管理、监理、检测等服务的供应商，不得再参与本项目投标（响应）。</w:t>
      </w:r>
    </w:p>
    <w:p w14:paraId="6B2D7B35">
      <w:pPr>
        <w:pStyle w:val="16"/>
        <w:spacing w:line="360" w:lineRule="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val="en-US" w:eastAsia="zh-CN"/>
        </w:rPr>
        <w:t>3</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投标人具有行政主管部门颁发的有效的《食品经营许可证》或《食品生产许可证》（注：1.须提供许可证复印件并加盖投标人公章；2.国家或省、自治区、直辖市另有规定的，则适用其规定，须提供相关证明材料并加盖投标人公章）。</w:t>
      </w:r>
    </w:p>
    <w:p w14:paraId="79CFBC20">
      <w:pPr>
        <w:pStyle w:val="16"/>
        <w:spacing w:line="360" w:lineRule="auto"/>
        <w:outlineLvl w:val="1"/>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三.获取招标文件</w:t>
      </w:r>
    </w:p>
    <w:p w14:paraId="15632ED9">
      <w:pPr>
        <w:pStyle w:val="16"/>
        <w:spacing w:line="360" w:lineRule="auto"/>
        <w:ind w:firstLine="480"/>
        <w:rPr>
          <w:rFonts w:hint="eastAsia" w:ascii="仿宋" w:hAnsi="仿宋" w:eastAsia="仿宋" w:cs="仿宋"/>
          <w:color w:val="auto"/>
          <w:sz w:val="28"/>
          <w:szCs w:val="28"/>
          <w:highlight w:val="none"/>
          <w:lang w:eastAsia="zh-CN"/>
        </w:rPr>
      </w:pPr>
      <w:r>
        <w:rPr>
          <w:rFonts w:hint="eastAsia" w:ascii="仿宋" w:hAnsi="仿宋" w:eastAsia="仿宋" w:cs="仿宋"/>
          <w:b/>
          <w:bCs/>
          <w:color w:val="auto"/>
          <w:sz w:val="28"/>
          <w:szCs w:val="28"/>
          <w:highlight w:val="none"/>
          <w:lang w:val="en-US" w:eastAsia="zh-CN"/>
        </w:rPr>
        <w:t>获取</w:t>
      </w:r>
      <w:r>
        <w:rPr>
          <w:rFonts w:hint="eastAsia" w:ascii="仿宋" w:hAnsi="仿宋" w:eastAsia="仿宋" w:cs="仿宋"/>
          <w:b/>
          <w:bCs/>
          <w:color w:val="auto"/>
          <w:sz w:val="28"/>
          <w:szCs w:val="28"/>
          <w:highlight w:val="none"/>
        </w:rPr>
        <w:t>时间：</w:t>
      </w:r>
      <w:r>
        <w:rPr>
          <w:rFonts w:hint="eastAsia" w:ascii="仿宋" w:hAnsi="仿宋" w:eastAsia="仿宋" w:cs="仿宋"/>
          <w:color w:val="auto"/>
          <w:sz w:val="28"/>
          <w:szCs w:val="28"/>
          <w:highlight w:val="none"/>
          <w:lang w:eastAsia="zh-CN"/>
        </w:rPr>
        <w:t>2025年06月17日至2025年06月24日；</w:t>
      </w:r>
      <w:r>
        <w:rPr>
          <w:rFonts w:hint="eastAsia" w:ascii="仿宋" w:hAnsi="仿宋" w:eastAsia="仿宋" w:cs="仿宋"/>
          <w:color w:val="auto"/>
          <w:sz w:val="28"/>
          <w:szCs w:val="28"/>
          <w:highlight w:val="none"/>
        </w:rPr>
        <w:t>9：00～12：00，14：00～17：30（不少于5个工作日）</w:t>
      </w:r>
      <w:r>
        <w:rPr>
          <w:rFonts w:hint="eastAsia" w:ascii="仿宋" w:hAnsi="仿宋" w:eastAsia="仿宋" w:cs="仿宋"/>
          <w:color w:val="auto"/>
          <w:sz w:val="28"/>
          <w:szCs w:val="28"/>
          <w:highlight w:val="none"/>
          <w:lang w:eastAsia="zh-CN"/>
        </w:rPr>
        <w:t>。</w:t>
      </w:r>
    </w:p>
    <w:p w14:paraId="2320A9E2">
      <w:pPr>
        <w:pStyle w:val="16"/>
        <w:spacing w:line="360" w:lineRule="auto"/>
        <w:ind w:firstLine="480"/>
        <w:rPr>
          <w:rFonts w:hint="eastAsia" w:ascii="仿宋" w:hAnsi="仿宋" w:eastAsia="仿宋" w:cs="仿宋"/>
          <w:color w:val="auto"/>
          <w:sz w:val="28"/>
          <w:szCs w:val="28"/>
          <w:highlight w:val="none"/>
          <w:lang w:eastAsia="zh-CN"/>
        </w:rPr>
      </w:pPr>
      <w:r>
        <w:rPr>
          <w:rFonts w:hint="eastAsia" w:ascii="仿宋" w:hAnsi="仿宋" w:eastAsia="仿宋" w:cs="仿宋"/>
          <w:b/>
          <w:bCs/>
          <w:color w:val="auto"/>
          <w:sz w:val="28"/>
          <w:szCs w:val="28"/>
          <w:highlight w:val="none"/>
          <w:lang w:val="en-US" w:eastAsia="zh-CN"/>
        </w:rPr>
        <w:t>获取</w:t>
      </w:r>
      <w:r>
        <w:rPr>
          <w:rFonts w:hint="eastAsia" w:ascii="仿宋" w:hAnsi="仿宋" w:eastAsia="仿宋" w:cs="仿宋"/>
          <w:b/>
          <w:bCs/>
          <w:color w:val="auto"/>
          <w:sz w:val="28"/>
          <w:szCs w:val="28"/>
          <w:highlight w:val="none"/>
        </w:rPr>
        <w:t>地点：</w:t>
      </w:r>
      <w:r>
        <w:rPr>
          <w:rFonts w:hint="eastAsia" w:ascii="仿宋" w:hAnsi="仿宋" w:eastAsia="仿宋" w:cs="仿宋"/>
          <w:color w:val="auto"/>
          <w:sz w:val="28"/>
          <w:szCs w:val="28"/>
          <w:highlight w:val="none"/>
        </w:rPr>
        <w:t>广东省东莞市东城街道罗沙路东城段1号国泰大厦1栋516室</w:t>
      </w:r>
      <w:r>
        <w:rPr>
          <w:rFonts w:hint="eastAsia" w:ascii="仿宋" w:hAnsi="仿宋" w:eastAsia="仿宋" w:cs="仿宋"/>
          <w:color w:val="auto"/>
          <w:sz w:val="28"/>
          <w:szCs w:val="28"/>
          <w:highlight w:val="none"/>
          <w:lang w:eastAsia="zh-CN"/>
        </w:rPr>
        <w:t>。</w:t>
      </w:r>
    </w:p>
    <w:p w14:paraId="6CAEDB00">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获取方式：</w:t>
      </w:r>
      <w:r>
        <w:rPr>
          <w:rFonts w:hint="eastAsia" w:ascii="仿宋" w:hAnsi="仿宋" w:eastAsia="仿宋" w:cs="仿宋"/>
          <w:color w:val="auto"/>
          <w:sz w:val="28"/>
          <w:szCs w:val="28"/>
          <w:highlight w:val="none"/>
        </w:rPr>
        <w:t>现场获取。投标人在获取招标文件时须提供如下证明材料：《营业执照》复印件（加盖公章）或《事业单位法人证书》复印件（加盖公章）或其他主体证书复印件（加盖公章），自然人参加采购活动须提供自然人的身份证明材料。</w:t>
      </w:r>
    </w:p>
    <w:p w14:paraId="6D0E09B4">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lang w:val="en-US" w:eastAsia="zh-CN"/>
        </w:rPr>
        <w:t>文件</w:t>
      </w:r>
      <w:r>
        <w:rPr>
          <w:rFonts w:hint="eastAsia" w:ascii="仿宋" w:hAnsi="仿宋" w:eastAsia="仿宋" w:cs="仿宋"/>
          <w:b/>
          <w:bCs/>
          <w:color w:val="auto"/>
          <w:sz w:val="28"/>
          <w:szCs w:val="28"/>
          <w:highlight w:val="none"/>
        </w:rPr>
        <w:t>售价：</w:t>
      </w:r>
      <w:r>
        <w:rPr>
          <w:rFonts w:hint="eastAsia" w:ascii="仿宋" w:hAnsi="仿宋" w:eastAsia="仿宋" w:cs="仿宋"/>
          <w:color w:val="auto"/>
          <w:sz w:val="28"/>
          <w:szCs w:val="28"/>
          <w:highlight w:val="none"/>
        </w:rPr>
        <w:t>人民币200元整（售后不退）。支持现金支付、微信支付、支付宝支付等。</w:t>
      </w:r>
    </w:p>
    <w:p w14:paraId="0CEE99EA">
      <w:pPr>
        <w:pStyle w:val="16"/>
        <w:spacing w:line="360" w:lineRule="auto"/>
        <w:outlineLvl w:val="1"/>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四.提交投标文件截止时间、开标时间和地点：</w:t>
      </w:r>
    </w:p>
    <w:p w14:paraId="105DADE1">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提交投标文件截止时间和开标时间</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eastAsia="zh-CN"/>
        </w:rPr>
        <w:t>2025</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lang w:val="en-US" w:eastAsia="zh-CN"/>
        </w:rPr>
        <w:t>07</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lang w:val="en-US" w:eastAsia="zh-CN"/>
        </w:rPr>
        <w:t>08</w:t>
      </w:r>
      <w:r>
        <w:rPr>
          <w:rFonts w:hint="eastAsia" w:ascii="仿宋" w:hAnsi="仿宋" w:eastAsia="仿宋" w:cs="仿宋"/>
          <w:color w:val="auto"/>
          <w:sz w:val="28"/>
          <w:szCs w:val="28"/>
          <w:highlight w:val="none"/>
        </w:rPr>
        <w:t>日</w:t>
      </w:r>
      <w:r>
        <w:rPr>
          <w:rFonts w:hint="eastAsia" w:ascii="仿宋" w:hAnsi="仿宋" w:eastAsia="仿宋" w:cs="仿宋"/>
          <w:color w:val="auto"/>
          <w:sz w:val="28"/>
          <w:szCs w:val="28"/>
          <w:highlight w:val="none"/>
          <w:lang w:val="en-US" w:eastAsia="zh-CN"/>
        </w:rPr>
        <w:t>10</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00</w:t>
      </w:r>
      <w:bookmarkStart w:id="32" w:name="_GoBack"/>
      <w:bookmarkEnd w:id="32"/>
      <w:r>
        <w:rPr>
          <w:rFonts w:hint="eastAsia" w:ascii="仿宋" w:hAnsi="仿宋" w:eastAsia="仿宋" w:cs="仿宋"/>
          <w:color w:val="auto"/>
          <w:sz w:val="28"/>
          <w:szCs w:val="28"/>
          <w:highlight w:val="none"/>
        </w:rPr>
        <w:t>（北京时间）。</w:t>
      </w:r>
    </w:p>
    <w:p w14:paraId="124A7FAB">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lang w:val="en-US" w:eastAsia="zh-CN"/>
        </w:rPr>
        <w:t>提交</w:t>
      </w:r>
      <w:r>
        <w:rPr>
          <w:rFonts w:hint="eastAsia" w:ascii="仿宋" w:hAnsi="仿宋" w:eastAsia="仿宋" w:cs="仿宋"/>
          <w:b/>
          <w:bCs/>
          <w:color w:val="auto"/>
          <w:sz w:val="28"/>
          <w:szCs w:val="28"/>
          <w:highlight w:val="none"/>
        </w:rPr>
        <w:t>地点：</w:t>
      </w:r>
      <w:r>
        <w:rPr>
          <w:rFonts w:hint="eastAsia" w:ascii="仿宋" w:hAnsi="仿宋" w:eastAsia="仿宋" w:cs="仿宋"/>
          <w:color w:val="auto"/>
          <w:sz w:val="28"/>
          <w:szCs w:val="28"/>
          <w:highlight w:val="none"/>
        </w:rPr>
        <w:t>广东省东莞市东城街道罗沙路东城段1号国泰大厦1栋516室</w:t>
      </w:r>
      <w:r>
        <w:rPr>
          <w:rFonts w:hint="eastAsia" w:ascii="仿宋" w:hAnsi="仿宋" w:eastAsia="仿宋" w:cs="仿宋"/>
          <w:color w:val="auto"/>
          <w:sz w:val="28"/>
          <w:szCs w:val="28"/>
          <w:highlight w:val="none"/>
          <w:lang w:eastAsia="zh-CN"/>
        </w:rPr>
        <w:t>。</w:t>
      </w:r>
    </w:p>
    <w:p w14:paraId="110E02C1">
      <w:pPr>
        <w:pStyle w:val="16"/>
        <w:spacing w:line="360" w:lineRule="auto"/>
        <w:outlineLvl w:val="1"/>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五.公告期限、发布公告的媒介：</w:t>
      </w:r>
    </w:p>
    <w:p w14:paraId="2AB05C52">
      <w:pPr>
        <w:pStyle w:val="16"/>
        <w:spacing w:line="360" w:lineRule="auto"/>
        <w:ind w:firstLine="480"/>
        <w:outlineLvl w:val="2"/>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1、公告期限：自本公告发布之日起不得少于5个工作日。</w:t>
      </w:r>
    </w:p>
    <w:p w14:paraId="402F794C">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2、发布公告的媒介：</w:t>
      </w:r>
    </w:p>
    <w:p w14:paraId="62291D0D">
      <w:pPr>
        <w:pStyle w:val="16"/>
        <w:spacing w:line="360" w:lineRule="auto"/>
        <w:ind w:firstLine="1120" w:firstLineChars="4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中国采购与招标网（www.chinabidding.cn）</w:t>
      </w:r>
    </w:p>
    <w:p w14:paraId="22042D2B">
      <w:pPr>
        <w:pStyle w:val="16"/>
        <w:spacing w:line="360" w:lineRule="auto"/>
        <w:ind w:firstLine="1120" w:firstLineChars="4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中国东莞常平镇栏目网站</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https://www.dg.gov.cn/cp/</w:t>
      </w:r>
      <w:r>
        <w:rPr>
          <w:rFonts w:hint="eastAsia" w:ascii="仿宋" w:hAnsi="仿宋" w:eastAsia="仿宋" w:cs="仿宋"/>
          <w:color w:val="auto"/>
          <w:sz w:val="28"/>
          <w:szCs w:val="28"/>
          <w:highlight w:val="none"/>
          <w:lang w:eastAsia="zh-CN"/>
        </w:rPr>
        <w:t>）</w:t>
      </w:r>
    </w:p>
    <w:p w14:paraId="696AFA12">
      <w:pPr>
        <w:pStyle w:val="16"/>
        <w:spacing w:line="360" w:lineRule="auto"/>
        <w:ind w:firstLine="1120" w:firstLineChars="4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东莞市德晟招标有限公司官网（</w:t>
      </w:r>
      <w:r>
        <w:rPr>
          <w:rFonts w:hint="eastAsia" w:ascii="仿宋" w:hAnsi="仿宋" w:eastAsia="仿宋" w:cs="仿宋"/>
          <w:color w:val="auto"/>
          <w:sz w:val="28"/>
          <w:szCs w:val="28"/>
          <w:highlight w:val="none"/>
        </w:rPr>
        <w:t>www.</w:t>
      </w:r>
      <w:r>
        <w:rPr>
          <w:rFonts w:hint="eastAsia" w:ascii="仿宋" w:hAnsi="仿宋" w:eastAsia="仿宋" w:cs="仿宋"/>
          <w:color w:val="auto"/>
          <w:sz w:val="28"/>
          <w:szCs w:val="28"/>
          <w:highlight w:val="none"/>
          <w:lang w:val="en-US" w:eastAsia="zh-CN"/>
        </w:rPr>
        <w:t>dgdszb.com）</w:t>
      </w:r>
    </w:p>
    <w:p w14:paraId="6FDF668F">
      <w:pPr>
        <w:pStyle w:val="16"/>
        <w:spacing w:line="360" w:lineRule="auto"/>
        <w:outlineLvl w:val="1"/>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六.本项目联系方式：</w:t>
      </w:r>
    </w:p>
    <w:p w14:paraId="627D784A">
      <w:pPr>
        <w:pStyle w:val="16"/>
        <w:spacing w:line="360" w:lineRule="auto"/>
        <w:outlineLvl w:val="2"/>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1.采购人信息</w:t>
      </w:r>
    </w:p>
    <w:p w14:paraId="21E81850">
      <w:pPr>
        <w:pStyle w:val="16"/>
        <w:spacing w:line="360" w:lineRule="auto"/>
        <w:ind w:firstLine="48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名称：</w:t>
      </w:r>
      <w:r>
        <w:rPr>
          <w:rFonts w:hint="eastAsia" w:ascii="仿宋" w:hAnsi="仿宋" w:eastAsia="仿宋" w:cs="仿宋"/>
          <w:color w:val="auto"/>
          <w:sz w:val="28"/>
          <w:szCs w:val="28"/>
          <w:highlight w:val="none"/>
          <w:lang w:eastAsia="zh-CN"/>
        </w:rPr>
        <w:t>东莞市常平镇中心小学</w:t>
      </w:r>
    </w:p>
    <w:p w14:paraId="7E58439E">
      <w:pPr>
        <w:pStyle w:val="16"/>
        <w:spacing w:line="360" w:lineRule="auto"/>
        <w:ind w:firstLine="480"/>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地址：东莞市常平镇振兴西路108号</w:t>
      </w:r>
    </w:p>
    <w:p w14:paraId="08A1F399">
      <w:pPr>
        <w:pStyle w:val="16"/>
        <w:spacing w:line="360" w:lineRule="auto"/>
        <w:ind w:firstLine="48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联系方式：刘</w:t>
      </w:r>
      <w:r>
        <w:rPr>
          <w:rFonts w:hint="eastAsia" w:ascii="仿宋" w:hAnsi="仿宋" w:eastAsia="仿宋" w:cs="仿宋"/>
          <w:color w:val="auto"/>
          <w:sz w:val="28"/>
          <w:szCs w:val="28"/>
          <w:highlight w:val="none"/>
          <w:lang w:val="en-US" w:eastAsia="zh-CN"/>
        </w:rPr>
        <w:t>老师 0769-</w:t>
      </w:r>
      <w:r>
        <w:rPr>
          <w:rFonts w:hint="eastAsia" w:ascii="仿宋" w:hAnsi="仿宋" w:eastAsia="仿宋" w:cs="仿宋"/>
          <w:color w:val="auto"/>
          <w:sz w:val="28"/>
          <w:szCs w:val="28"/>
          <w:highlight w:val="none"/>
        </w:rPr>
        <w:t>83331522</w:t>
      </w:r>
    </w:p>
    <w:p w14:paraId="17951A51">
      <w:pPr>
        <w:pStyle w:val="16"/>
        <w:spacing w:line="360" w:lineRule="auto"/>
        <w:outlineLvl w:val="2"/>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2.采购代理机构信息</w:t>
      </w:r>
    </w:p>
    <w:p w14:paraId="34906995">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名称：东莞市德晟招标有限公司</w:t>
      </w:r>
    </w:p>
    <w:p w14:paraId="7EC0A9F6">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地址：</w:t>
      </w:r>
      <w:r>
        <w:rPr>
          <w:rFonts w:hint="eastAsia" w:ascii="仿宋" w:hAnsi="仿宋" w:eastAsia="仿宋" w:cs="仿宋"/>
          <w:color w:val="auto"/>
          <w:sz w:val="28"/>
          <w:szCs w:val="28"/>
          <w:highlight w:val="none"/>
          <w:u w:val="none"/>
        </w:rPr>
        <w:t>广</w:t>
      </w:r>
      <w:r>
        <w:rPr>
          <w:rFonts w:hint="eastAsia" w:ascii="仿宋" w:hAnsi="仿宋" w:eastAsia="仿宋" w:cs="仿宋"/>
          <w:color w:val="auto"/>
          <w:sz w:val="28"/>
          <w:szCs w:val="28"/>
          <w:highlight w:val="none"/>
        </w:rPr>
        <w:t>东省东莞市东城街道罗沙路东城段1号国泰大厦1栋516室</w:t>
      </w:r>
    </w:p>
    <w:p w14:paraId="2A6CF11E">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联系方式：0769-22887817</w:t>
      </w:r>
    </w:p>
    <w:p w14:paraId="591AC20C">
      <w:pPr>
        <w:pStyle w:val="16"/>
        <w:spacing w:line="360" w:lineRule="auto"/>
        <w:outlineLvl w:val="2"/>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3.项目联系方式</w:t>
      </w:r>
    </w:p>
    <w:p w14:paraId="274D9BDA">
      <w:pPr>
        <w:pStyle w:val="16"/>
        <w:spacing w:line="360" w:lineRule="auto"/>
        <w:ind w:firstLine="480"/>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项目联系人：</w:t>
      </w:r>
      <w:r>
        <w:rPr>
          <w:rFonts w:hint="eastAsia" w:ascii="仿宋" w:hAnsi="仿宋" w:eastAsia="仿宋" w:cs="仿宋"/>
          <w:color w:val="auto"/>
          <w:sz w:val="28"/>
          <w:szCs w:val="28"/>
          <w:highlight w:val="none"/>
          <w:lang w:val="en-US" w:eastAsia="zh-CN"/>
        </w:rPr>
        <w:t>周小姐</w:t>
      </w:r>
    </w:p>
    <w:p w14:paraId="7EC410A2">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电话：0769-22887817</w:t>
      </w:r>
      <w:r>
        <w:rPr>
          <w:rFonts w:hint="eastAsia" w:ascii="仿宋" w:hAnsi="仿宋" w:eastAsia="仿宋" w:cs="仿宋"/>
          <w:color w:val="auto"/>
          <w:sz w:val="28"/>
          <w:szCs w:val="28"/>
          <w:highlight w:val="none"/>
        </w:rPr>
        <w:br w:type="page"/>
      </w:r>
    </w:p>
    <w:p w14:paraId="1A1D4303">
      <w:pPr>
        <w:pStyle w:val="2"/>
        <w:bidi w:val="0"/>
        <w:jc w:val="center"/>
        <w:outlineLvl w:val="0"/>
        <w:rPr>
          <w:rFonts w:hint="eastAsia" w:ascii="仿宋" w:hAnsi="仿宋" w:eastAsia="仿宋" w:cs="仿宋"/>
          <w:color w:val="auto"/>
          <w:sz w:val="28"/>
          <w:szCs w:val="28"/>
          <w:highlight w:val="none"/>
        </w:rPr>
      </w:pPr>
      <w:bookmarkStart w:id="8" w:name="_Toc1006"/>
      <w:r>
        <w:rPr>
          <w:rFonts w:hint="eastAsia" w:ascii="仿宋" w:hAnsi="仿宋" w:eastAsia="仿宋" w:cs="仿宋"/>
          <w:color w:val="auto"/>
          <w:sz w:val="28"/>
          <w:szCs w:val="28"/>
          <w:highlight w:val="none"/>
        </w:rPr>
        <w:t>第二章 采购需求</w:t>
      </w:r>
      <w:bookmarkEnd w:id="8"/>
    </w:p>
    <w:p w14:paraId="7936E65A">
      <w:pPr>
        <w:pStyle w:val="16"/>
        <w:spacing w:line="360" w:lineRule="auto"/>
        <w:outlineLvl w:val="1"/>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一、项目概况：</w:t>
      </w:r>
    </w:p>
    <w:p w14:paraId="0835B3B4">
      <w:pPr>
        <w:pStyle w:val="16"/>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东莞市常平镇中心小学</w:t>
      </w:r>
      <w:r>
        <w:rPr>
          <w:rFonts w:hint="eastAsia" w:ascii="仿宋" w:hAnsi="仿宋" w:eastAsia="仿宋" w:cs="仿宋"/>
          <w:color w:val="auto"/>
          <w:sz w:val="28"/>
          <w:szCs w:val="28"/>
          <w:highlight w:val="none"/>
          <w:lang w:val="en-US" w:eastAsia="zh-CN"/>
        </w:rPr>
        <w:t>拟通过公开招标方式确定2家供应商为</w:t>
      </w:r>
      <w:r>
        <w:rPr>
          <w:rFonts w:hint="eastAsia" w:ascii="仿宋" w:hAnsi="仿宋" w:eastAsia="仿宋" w:cs="仿宋"/>
          <w:color w:val="auto"/>
          <w:sz w:val="28"/>
          <w:szCs w:val="28"/>
          <w:highlight w:val="none"/>
          <w:lang w:eastAsia="zh-CN"/>
        </w:rPr>
        <w:t>东莞市常平镇中心小学食堂食材采购项目</w:t>
      </w:r>
      <w:r>
        <w:rPr>
          <w:rFonts w:hint="eastAsia" w:ascii="仿宋" w:hAnsi="仿宋" w:eastAsia="仿宋" w:cs="仿宋"/>
          <w:color w:val="auto"/>
          <w:sz w:val="28"/>
          <w:szCs w:val="28"/>
          <w:highlight w:val="none"/>
          <w:lang w:val="en-US" w:eastAsia="zh-CN"/>
        </w:rPr>
        <w:t>提供食材配送服务，项目分为两个采购包，分别为：采购包1（蔬菜、鲜肉及水产类食材配送服务）、采购包2（干货调料、包点、蛋品及冰鲜类食材配送服务）</w:t>
      </w:r>
      <w:r>
        <w:rPr>
          <w:rFonts w:hint="eastAsia" w:ascii="仿宋" w:hAnsi="仿宋" w:eastAsia="仿宋" w:cs="仿宋"/>
          <w:color w:val="auto"/>
          <w:sz w:val="28"/>
          <w:szCs w:val="28"/>
          <w:highlight w:val="none"/>
          <w:lang w:eastAsia="zh-CN"/>
        </w:rPr>
        <w:t>。</w:t>
      </w:r>
    </w:p>
    <w:p w14:paraId="3D4F6055">
      <w:pPr>
        <w:pStyle w:val="16"/>
        <w:spacing w:line="360" w:lineRule="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采购包1（</w:t>
      </w:r>
      <w:r>
        <w:rPr>
          <w:rFonts w:hint="eastAsia" w:ascii="仿宋" w:hAnsi="仿宋" w:eastAsia="仿宋" w:cs="仿宋"/>
          <w:b/>
          <w:bCs/>
          <w:color w:val="auto"/>
          <w:sz w:val="28"/>
          <w:szCs w:val="28"/>
          <w:highlight w:val="none"/>
          <w:lang w:eastAsia="zh-CN"/>
        </w:rPr>
        <w:t>蔬菜、鲜肉及水产类食材配送服务</w:t>
      </w:r>
      <w:r>
        <w:rPr>
          <w:rFonts w:hint="eastAsia" w:ascii="仿宋" w:hAnsi="仿宋" w:eastAsia="仿宋" w:cs="仿宋"/>
          <w:b/>
          <w:bCs/>
          <w:color w:val="auto"/>
          <w:sz w:val="28"/>
          <w:szCs w:val="28"/>
          <w:highlight w:val="none"/>
        </w:rPr>
        <w:t>）</w:t>
      </w:r>
    </w:p>
    <w:p w14:paraId="548BD64D">
      <w:pPr>
        <w:pStyle w:val="16"/>
        <w:spacing w:line="360" w:lineRule="auto"/>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1.主要商务要求</w:t>
      </w:r>
    </w:p>
    <w:tbl>
      <w:tblPr>
        <w:tblStyle w:val="12"/>
        <w:tblW w:w="4998"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303"/>
        <w:gridCol w:w="6754"/>
      </w:tblGrid>
      <w:tr w14:paraId="4507C5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71" w:type="pct"/>
            <w:vAlign w:val="center"/>
          </w:tcPr>
          <w:p w14:paraId="6767F3DB">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标的提供的时间</w:t>
            </w:r>
          </w:p>
        </w:tc>
        <w:tc>
          <w:tcPr>
            <w:tcW w:w="3728" w:type="pct"/>
            <w:vAlign w:val="center"/>
          </w:tcPr>
          <w:p w14:paraId="41E3D14A">
            <w:pPr>
              <w:pStyle w:val="16"/>
              <w:keepNext w:val="0"/>
              <w:keepLines w:val="0"/>
              <w:pageBreakBefore w:val="0"/>
              <w:widowControl/>
              <w:kinsoku/>
              <w:wordWrap w:val="0"/>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自合同签订之日起3年或本采购包预算金额（¥10,000,000.00）使用完毕，以其中一项先到达的为止。</w:t>
            </w:r>
          </w:p>
        </w:tc>
      </w:tr>
      <w:tr w14:paraId="7B940F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71" w:type="pct"/>
            <w:vAlign w:val="center"/>
          </w:tcPr>
          <w:p w14:paraId="17C4F8A6">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标的提供的地点</w:t>
            </w:r>
          </w:p>
        </w:tc>
        <w:tc>
          <w:tcPr>
            <w:tcW w:w="3728" w:type="pct"/>
            <w:vAlign w:val="center"/>
          </w:tcPr>
          <w:p w14:paraId="229CB475">
            <w:pPr>
              <w:pStyle w:val="16"/>
              <w:spacing w:line="360" w:lineRule="auto"/>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东莞市常平镇或</w:t>
            </w:r>
            <w:r>
              <w:rPr>
                <w:rFonts w:hint="eastAsia" w:ascii="仿宋" w:hAnsi="仿宋" w:eastAsia="仿宋" w:cs="仿宋"/>
                <w:color w:val="auto"/>
                <w:sz w:val="28"/>
                <w:szCs w:val="28"/>
                <w:highlight w:val="none"/>
              </w:rPr>
              <w:t>采购人指定的地点。</w:t>
            </w:r>
          </w:p>
        </w:tc>
      </w:tr>
      <w:tr w14:paraId="69C29A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71" w:type="pct"/>
            <w:vAlign w:val="center"/>
          </w:tcPr>
          <w:p w14:paraId="651B0892">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付款方式</w:t>
            </w:r>
          </w:p>
        </w:tc>
        <w:tc>
          <w:tcPr>
            <w:tcW w:w="3728" w:type="pct"/>
            <w:vAlign w:val="center"/>
          </w:tcPr>
          <w:p w14:paraId="1202203E">
            <w:pPr>
              <w:pStyle w:val="16"/>
              <w:spacing w:line="360" w:lineRule="auto"/>
              <w:jc w:val="lef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每月10日前中标人凭经采购人签字确认的上月每日验收登记表（须列明配送时间、规格、质量、数量及价格等信息）、《食材配送考核表》、等额合规发票及本项目合同向采购人请款，请款资料中收款方、发票出具方、合同乙方均必须与中标人名称一致。采购人收到合格请款资料后10个工作日内根据中标人上月食材配送考核得分情况按约定扣减后支付对应服务费。</w:t>
            </w:r>
          </w:p>
        </w:tc>
      </w:tr>
      <w:tr w14:paraId="3CE1F0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71" w:type="pct"/>
            <w:vAlign w:val="center"/>
          </w:tcPr>
          <w:p w14:paraId="05BD28A0">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验收要求</w:t>
            </w:r>
          </w:p>
        </w:tc>
        <w:tc>
          <w:tcPr>
            <w:tcW w:w="3728" w:type="pct"/>
            <w:vAlign w:val="center"/>
          </w:tcPr>
          <w:p w14:paraId="053E0728">
            <w:pPr>
              <w:pStyle w:val="16"/>
              <w:numPr>
                <w:ilvl w:val="0"/>
                <w:numId w:val="0"/>
              </w:numPr>
              <w:spacing w:line="360" w:lineRule="auto"/>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中标人按照采购人要求将货物送至指定地点后，双方人员应及时对货物进行验收。食材的每日验收由采购人及中标人组成的验收小组进行共同验收，验收人员对当天所配送的食材进行规格、质量、数量、价格等方面的验收。验收标准严格按照国家、地方的相关规定、招标文件及投标文件相关内容执行。</w:t>
            </w:r>
          </w:p>
          <w:p w14:paraId="2A2E82B3">
            <w:pPr>
              <w:pStyle w:val="16"/>
              <w:numPr>
                <w:ilvl w:val="0"/>
                <w:numId w:val="0"/>
              </w:numPr>
              <w:spacing w:line="360" w:lineRule="auto"/>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交货验收程序如下：（1）双方人员核对送货清单。（2）数量检查：数量短缺的，中标人必须按照采购人要求补齐货物并承担延迟交货责任；送货数量超出订货数量的，超出部分采购人有权拒收，中标人自行将多余货物清运出采购人场所。（3）验收合格后，双方在验收登记表上签字确认，验收登记表作为结算对账依据。</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lang w:eastAsia="zh-CN"/>
              </w:rPr>
              <w:t>）出现退（补）货情况，应及时报告</w:t>
            </w:r>
            <w:r>
              <w:rPr>
                <w:rFonts w:hint="eastAsia" w:ascii="仿宋" w:hAnsi="仿宋" w:eastAsia="仿宋" w:cs="仿宋"/>
                <w:color w:val="auto"/>
                <w:sz w:val="28"/>
                <w:szCs w:val="28"/>
                <w:highlight w:val="none"/>
                <w:lang w:val="en-US" w:eastAsia="zh-CN"/>
              </w:rPr>
              <w:t>采购人相关负责人及校园膳食监督家长委员会</w:t>
            </w:r>
            <w:r>
              <w:rPr>
                <w:rFonts w:hint="eastAsia" w:ascii="仿宋" w:hAnsi="仿宋" w:eastAsia="仿宋" w:cs="仿宋"/>
                <w:color w:val="auto"/>
                <w:sz w:val="28"/>
                <w:szCs w:val="28"/>
                <w:highlight w:val="none"/>
                <w:lang w:eastAsia="zh-CN"/>
              </w:rPr>
              <w:t>。在退货过程中，对有碍公共卫生安全的</w:t>
            </w:r>
            <w:r>
              <w:rPr>
                <w:rFonts w:hint="eastAsia" w:ascii="仿宋" w:hAnsi="仿宋" w:eastAsia="仿宋" w:cs="仿宋"/>
                <w:color w:val="auto"/>
                <w:sz w:val="28"/>
                <w:szCs w:val="28"/>
                <w:highlight w:val="none"/>
                <w:lang w:val="en-US" w:eastAsia="zh-CN"/>
              </w:rPr>
              <w:t>食材</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中标人须</w:t>
            </w:r>
            <w:r>
              <w:rPr>
                <w:rFonts w:hint="eastAsia" w:ascii="仿宋" w:hAnsi="仿宋" w:eastAsia="仿宋" w:cs="仿宋"/>
                <w:color w:val="auto"/>
                <w:sz w:val="28"/>
                <w:szCs w:val="28"/>
                <w:highlight w:val="none"/>
                <w:lang w:eastAsia="zh-CN"/>
              </w:rPr>
              <w:t>按国家有关规定处理或进行协议销毁，</w:t>
            </w:r>
            <w:r>
              <w:rPr>
                <w:rFonts w:hint="eastAsia" w:ascii="仿宋" w:hAnsi="仿宋" w:eastAsia="仿宋" w:cs="仿宋"/>
                <w:color w:val="auto"/>
                <w:sz w:val="28"/>
                <w:szCs w:val="28"/>
                <w:highlight w:val="none"/>
                <w:lang w:val="en-US" w:eastAsia="zh-CN"/>
              </w:rPr>
              <w:t>不得回收后进行二次利用或销售</w:t>
            </w:r>
            <w:r>
              <w:rPr>
                <w:rFonts w:hint="eastAsia" w:ascii="仿宋" w:hAnsi="仿宋" w:eastAsia="仿宋" w:cs="仿宋"/>
                <w:color w:val="auto"/>
                <w:sz w:val="28"/>
                <w:szCs w:val="28"/>
                <w:highlight w:val="none"/>
                <w:lang w:eastAsia="zh-CN"/>
              </w:rPr>
              <w:t>。</w:t>
            </w:r>
          </w:p>
          <w:p w14:paraId="48042056">
            <w:pPr>
              <w:pStyle w:val="16"/>
              <w:numPr>
                <w:ilvl w:val="0"/>
                <w:numId w:val="0"/>
              </w:numPr>
              <w:spacing w:line="360" w:lineRule="auto"/>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双方对验收结果或货物质量持有异议的，中标人须先应采购人要求对货物进行更换或退货，然后由双方对存有异议的货物进行抽样封存，并在3日内交由采购人所在地的第三方检测机构进行检验，由此产生的检验费由中标人承担。</w:t>
            </w:r>
          </w:p>
          <w:p w14:paraId="7A3AD73B">
            <w:pPr>
              <w:pStyle w:val="16"/>
              <w:numPr>
                <w:ilvl w:val="0"/>
                <w:numId w:val="0"/>
              </w:numPr>
              <w:spacing w:line="360" w:lineRule="auto"/>
              <w:jc w:val="left"/>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4、除每日验收外，采购人每月10日前安排相关人员对中标人进行食材及服务质量考核跟踪，考核内容详见《食材配送考核表》</w:t>
            </w:r>
            <w:r>
              <w:rPr>
                <w:rFonts w:hint="eastAsia" w:ascii="仿宋" w:hAnsi="仿宋" w:eastAsia="仿宋" w:cs="仿宋"/>
                <w:color w:val="auto"/>
                <w:sz w:val="28"/>
                <w:szCs w:val="28"/>
                <w:highlight w:val="none"/>
                <w:lang w:eastAsia="zh-CN"/>
              </w:rPr>
              <w:t>。</w:t>
            </w:r>
          </w:p>
        </w:tc>
      </w:tr>
      <w:tr w14:paraId="70E429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90" w:hRule="atLeast"/>
        </w:trPr>
        <w:tc>
          <w:tcPr>
            <w:tcW w:w="1271" w:type="pct"/>
            <w:vAlign w:val="center"/>
          </w:tcPr>
          <w:p w14:paraId="0DB0E892">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履约保证金</w:t>
            </w:r>
          </w:p>
        </w:tc>
        <w:tc>
          <w:tcPr>
            <w:tcW w:w="3728" w:type="pct"/>
            <w:vAlign w:val="center"/>
          </w:tcPr>
          <w:p w14:paraId="5D0E00AA">
            <w:pPr>
              <w:pStyle w:val="6"/>
              <w:spacing w:line="360" w:lineRule="auto"/>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收取比例：5%,说明：1、中标人须在签订采购合同后10日内，向采购人提交履约保证金或出具相等担保额度的履约担保函。2、中标人因自身原因不能按照招标文件规定签订合同或者没有有效执行合同的，采购人有权没收履约保证金并终止合同。3、中标人委派人员应严格按照规定认真履行职责，中标人委派的工作人员违反合同约定，造成的损失由中标人负责，损失金额超过人民币5万元或者造成不良社会影响的，采购人有权没收履约保证金或按履约保函担保额度索赔保证金并视情况终止合同。4、中标人的履约保证金在中标人按承诺完全履行合同的约定，服务期满并顺利交接后的30个工作日内，由采购人以转账（支票）形式退还给中标人或终止履约担保函期限。</w:t>
            </w:r>
          </w:p>
        </w:tc>
      </w:tr>
      <w:tr w14:paraId="314FF9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90" w:hRule="atLeast"/>
        </w:trPr>
        <w:tc>
          <w:tcPr>
            <w:tcW w:w="1271" w:type="pct"/>
            <w:vAlign w:val="center"/>
          </w:tcPr>
          <w:p w14:paraId="4DB1D2AB">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其他</w:t>
            </w:r>
          </w:p>
        </w:tc>
        <w:tc>
          <w:tcPr>
            <w:tcW w:w="3728" w:type="pct"/>
            <w:vAlign w:val="center"/>
          </w:tcPr>
          <w:p w14:paraId="43271351">
            <w:pPr>
              <w:pStyle w:val="16"/>
              <w:spacing w:line="360" w:lineRule="auto"/>
              <w:jc w:val="left"/>
              <w:rPr>
                <w:rFonts w:hint="eastAsia" w:ascii="仿宋" w:hAnsi="仿宋" w:eastAsia="仿宋" w:cs="仿宋"/>
                <w:color w:val="auto"/>
                <w:sz w:val="28"/>
                <w:szCs w:val="28"/>
                <w:highlight w:val="none"/>
                <w:lang w:val="en-US" w:eastAsia="zh-CN"/>
              </w:rPr>
            </w:pPr>
          </w:p>
        </w:tc>
      </w:tr>
    </w:tbl>
    <w:p w14:paraId="1B58B64D">
      <w:pPr>
        <w:pStyle w:val="16"/>
        <w:spacing w:line="360" w:lineRule="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其他商务需求</w:t>
      </w:r>
    </w:p>
    <w:tbl>
      <w:tblPr>
        <w:tblStyle w:val="12"/>
        <w:tblW w:w="4997"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31"/>
        <w:gridCol w:w="764"/>
        <w:gridCol w:w="1402"/>
        <w:gridCol w:w="5959"/>
      </w:tblGrid>
      <w:tr w14:paraId="051900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14" w:type="pct"/>
            <w:vAlign w:val="center"/>
          </w:tcPr>
          <w:p w14:paraId="5712189A">
            <w:pPr>
              <w:pStyle w:val="16"/>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参数性质</w:t>
            </w:r>
          </w:p>
        </w:tc>
        <w:tc>
          <w:tcPr>
            <w:tcW w:w="421" w:type="pct"/>
            <w:vAlign w:val="center"/>
          </w:tcPr>
          <w:p w14:paraId="131BCA84">
            <w:pPr>
              <w:pStyle w:val="16"/>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编号</w:t>
            </w:r>
          </w:p>
        </w:tc>
        <w:tc>
          <w:tcPr>
            <w:tcW w:w="774" w:type="pct"/>
            <w:vAlign w:val="center"/>
          </w:tcPr>
          <w:p w14:paraId="68642135">
            <w:pPr>
              <w:pStyle w:val="16"/>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内容明细</w:t>
            </w:r>
          </w:p>
        </w:tc>
        <w:tc>
          <w:tcPr>
            <w:tcW w:w="3289" w:type="pct"/>
            <w:vAlign w:val="center"/>
          </w:tcPr>
          <w:p w14:paraId="6A233428">
            <w:pPr>
              <w:pStyle w:val="16"/>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内容说明</w:t>
            </w:r>
          </w:p>
        </w:tc>
      </w:tr>
      <w:tr w14:paraId="4B3C26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14" w:type="pct"/>
            <w:vAlign w:val="center"/>
          </w:tcPr>
          <w:p w14:paraId="3C62CDE6">
            <w:pPr>
              <w:pStyle w:val="16"/>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w:t>
            </w:r>
          </w:p>
        </w:tc>
        <w:tc>
          <w:tcPr>
            <w:tcW w:w="421" w:type="pct"/>
            <w:vAlign w:val="center"/>
          </w:tcPr>
          <w:p w14:paraId="5E312ADC">
            <w:pPr>
              <w:pStyle w:val="16"/>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1</w:t>
            </w:r>
          </w:p>
        </w:tc>
        <w:tc>
          <w:tcPr>
            <w:tcW w:w="774" w:type="pct"/>
            <w:vAlign w:val="center"/>
          </w:tcPr>
          <w:p w14:paraId="1B3C2889">
            <w:pPr>
              <w:pStyle w:val="16"/>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结算价格说明</w:t>
            </w:r>
          </w:p>
        </w:tc>
        <w:tc>
          <w:tcPr>
            <w:tcW w:w="3289" w:type="pct"/>
          </w:tcPr>
          <w:p w14:paraId="6EAC0439">
            <w:pPr>
              <w:pStyle w:val="16"/>
              <w:keepNext w:val="0"/>
              <w:keepLines w:val="0"/>
              <w:pageBreakBefore w:val="0"/>
              <w:widowControl/>
              <w:kinsoku/>
              <w:wordWrap w:val="0"/>
              <w:overflowPunct/>
              <w:topLinePunct w:val="0"/>
              <w:autoSpaceDE/>
              <w:autoSpaceDN/>
              <w:bidi w:val="0"/>
              <w:adjustRightInd/>
              <w:snapToGrid/>
              <w:spacing w:line="360" w:lineRule="auto"/>
              <w:jc w:val="left"/>
              <w:textAlignment w:val="auto"/>
              <w:rPr>
                <w:rFonts w:hint="default"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rPr>
              <w:t>1、基准价确定：（1）东莞市发展和改革局价格管理专栏（http://dgdp.dg.gov.cn/jggl/index.html）中《东莞市菜篮子价格监测表》有价格的货物，取《东莞市菜篮子价格监测表》公布的农贸市场平均零售价格为</w:t>
            </w:r>
            <w:r>
              <w:rPr>
                <w:rFonts w:hint="eastAsia" w:ascii="仿宋" w:hAnsi="仿宋" w:eastAsia="仿宋" w:cs="仿宋"/>
                <w:b/>
                <w:bCs/>
                <w:color w:val="auto"/>
                <w:sz w:val="28"/>
                <w:szCs w:val="28"/>
                <w:highlight w:val="none"/>
                <w:lang w:val="en-US" w:eastAsia="zh-CN"/>
              </w:rPr>
              <w:t>参考</w:t>
            </w:r>
            <w:r>
              <w:rPr>
                <w:rFonts w:hint="eastAsia" w:ascii="仿宋" w:hAnsi="仿宋" w:eastAsia="仿宋" w:cs="仿宋"/>
                <w:b/>
                <w:bCs/>
                <w:color w:val="auto"/>
                <w:sz w:val="28"/>
                <w:szCs w:val="28"/>
                <w:highlight w:val="none"/>
              </w:rPr>
              <w:t>基准价（以最近日期发布的价格为准）；（2）由采购人和中标人双方共同按常平木伦市场</w:t>
            </w:r>
            <w:r>
              <w:rPr>
                <w:rFonts w:hint="eastAsia" w:ascii="仿宋" w:hAnsi="仿宋" w:eastAsia="仿宋" w:cs="仿宋"/>
                <w:b/>
                <w:bCs/>
                <w:color w:val="auto"/>
                <w:sz w:val="28"/>
                <w:szCs w:val="28"/>
                <w:highlight w:val="none"/>
                <w:lang w:eastAsia="zh-CN"/>
              </w:rPr>
              <w:t>、</w:t>
            </w:r>
            <w:r>
              <w:rPr>
                <w:rFonts w:hint="eastAsia" w:ascii="仿宋" w:hAnsi="仿宋" w:eastAsia="仿宋" w:cs="仿宋"/>
                <w:b/>
                <w:bCs/>
                <w:color w:val="auto"/>
                <w:sz w:val="28"/>
                <w:szCs w:val="28"/>
                <w:highlight w:val="none"/>
              </w:rPr>
              <w:t>常平第一市场</w:t>
            </w:r>
            <w:r>
              <w:rPr>
                <w:rFonts w:hint="eastAsia" w:ascii="仿宋" w:hAnsi="仿宋" w:eastAsia="仿宋" w:cs="仿宋"/>
                <w:b/>
                <w:bCs/>
                <w:color w:val="auto"/>
                <w:sz w:val="28"/>
                <w:szCs w:val="28"/>
                <w:highlight w:val="none"/>
                <w:lang w:eastAsia="zh-CN"/>
              </w:rPr>
              <w:t>、</w:t>
            </w:r>
            <w:r>
              <w:rPr>
                <w:rFonts w:hint="eastAsia" w:ascii="仿宋" w:hAnsi="仿宋" w:eastAsia="仿宋" w:cs="仿宋"/>
                <w:b/>
                <w:bCs/>
                <w:color w:val="auto"/>
                <w:sz w:val="28"/>
                <w:szCs w:val="28"/>
                <w:highlight w:val="none"/>
              </w:rPr>
              <w:t>常平金美市场三个市场作为参考，以其同类产品价格的平均价作为</w:t>
            </w:r>
            <w:r>
              <w:rPr>
                <w:rFonts w:hint="eastAsia" w:ascii="仿宋" w:hAnsi="仿宋" w:eastAsia="仿宋" w:cs="仿宋"/>
                <w:b/>
                <w:bCs/>
                <w:color w:val="auto"/>
                <w:sz w:val="28"/>
                <w:szCs w:val="28"/>
                <w:highlight w:val="none"/>
                <w:lang w:val="en-US" w:eastAsia="zh-CN"/>
              </w:rPr>
              <w:t>参考</w:t>
            </w:r>
            <w:r>
              <w:rPr>
                <w:rFonts w:hint="eastAsia" w:ascii="仿宋" w:hAnsi="仿宋" w:eastAsia="仿宋" w:cs="仿宋"/>
                <w:b/>
                <w:bCs/>
                <w:color w:val="auto"/>
                <w:sz w:val="28"/>
                <w:szCs w:val="28"/>
                <w:highlight w:val="none"/>
              </w:rPr>
              <w:t>基准价（即基准价=3个市场抽样价格之和÷3，计算结果四舍五入保留两位小数）。</w:t>
            </w:r>
            <w:r>
              <w:rPr>
                <w:rFonts w:hint="eastAsia" w:ascii="仿宋" w:hAnsi="仿宋" w:eastAsia="仿宋" w:cs="仿宋"/>
                <w:b/>
                <w:bCs/>
                <w:color w:val="auto"/>
                <w:sz w:val="28"/>
                <w:szCs w:val="28"/>
                <w:highlight w:val="none"/>
                <w:lang w:eastAsia="zh-CN"/>
              </w:rPr>
              <w:t>（</w:t>
            </w:r>
            <w:r>
              <w:rPr>
                <w:rFonts w:hint="eastAsia" w:ascii="仿宋" w:hAnsi="仿宋" w:eastAsia="仿宋" w:cs="仿宋"/>
                <w:b/>
                <w:bCs/>
                <w:color w:val="auto"/>
                <w:sz w:val="28"/>
                <w:szCs w:val="28"/>
                <w:highlight w:val="none"/>
                <w:lang w:val="en-US" w:eastAsia="zh-CN"/>
              </w:rPr>
              <w:t>3</w:t>
            </w:r>
            <w:r>
              <w:rPr>
                <w:rFonts w:hint="eastAsia" w:ascii="仿宋" w:hAnsi="仿宋" w:eastAsia="仿宋" w:cs="仿宋"/>
                <w:b/>
                <w:bCs/>
                <w:color w:val="auto"/>
                <w:sz w:val="28"/>
                <w:szCs w:val="28"/>
                <w:highlight w:val="none"/>
                <w:lang w:eastAsia="zh-CN"/>
              </w:rPr>
              <w:t>）</w:t>
            </w:r>
            <w:r>
              <w:rPr>
                <w:rFonts w:hint="eastAsia" w:ascii="仿宋" w:hAnsi="仿宋" w:eastAsia="仿宋" w:cs="仿宋"/>
                <w:b/>
                <w:bCs/>
                <w:color w:val="auto"/>
                <w:sz w:val="28"/>
                <w:szCs w:val="28"/>
                <w:highlight w:val="none"/>
                <w:lang w:val="en-US" w:eastAsia="zh-CN"/>
              </w:rPr>
              <w:t>实际结算基准价，取上述两个参考基准价中较低的为结算基准价；《东莞市菜篮子价格监测表》无采购人所需货品的，则按上文（2）条款约定的方式确定结算基准价。</w:t>
            </w:r>
          </w:p>
          <w:p w14:paraId="6404616F">
            <w:pPr>
              <w:pStyle w:val="16"/>
              <w:keepNext w:val="0"/>
              <w:keepLines w:val="0"/>
              <w:pageBreakBefore w:val="0"/>
              <w:widowControl/>
              <w:kinsoku/>
              <w:wordWrap w:val="0"/>
              <w:overflowPunct/>
              <w:topLinePunct w:val="0"/>
              <w:autoSpaceDE/>
              <w:autoSpaceDN/>
              <w:bidi w:val="0"/>
              <w:adjustRightInd/>
              <w:snapToGrid/>
              <w:spacing w:line="360" w:lineRule="auto"/>
              <w:jc w:val="left"/>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2、结算价格确定：结算价格=</w:t>
            </w:r>
            <w:r>
              <w:rPr>
                <w:rFonts w:hint="eastAsia" w:ascii="仿宋" w:hAnsi="仿宋" w:eastAsia="仿宋" w:cs="仿宋"/>
                <w:b/>
                <w:bCs/>
                <w:color w:val="auto"/>
                <w:sz w:val="28"/>
                <w:szCs w:val="28"/>
                <w:highlight w:val="none"/>
                <w:lang w:val="en-US" w:eastAsia="zh-CN"/>
              </w:rPr>
              <w:t>结算基准价</w:t>
            </w:r>
            <w:r>
              <w:rPr>
                <w:rFonts w:hint="eastAsia" w:ascii="仿宋" w:hAnsi="仿宋" w:eastAsia="仿宋" w:cs="仿宋"/>
                <w:b/>
                <w:bCs/>
                <w:color w:val="auto"/>
                <w:sz w:val="28"/>
                <w:szCs w:val="28"/>
                <w:highlight w:val="none"/>
              </w:rPr>
              <w:t>×</w:t>
            </w:r>
            <w:r>
              <w:rPr>
                <w:rFonts w:hint="eastAsia" w:ascii="仿宋" w:hAnsi="仿宋" w:eastAsia="仿宋" w:cs="仿宋"/>
                <w:b/>
                <w:bCs/>
                <w:color w:val="auto"/>
                <w:sz w:val="28"/>
                <w:szCs w:val="28"/>
                <w:highlight w:val="none"/>
                <w:lang w:val="en-US" w:eastAsia="zh-CN"/>
              </w:rPr>
              <w:t>中标</w:t>
            </w:r>
            <w:r>
              <w:rPr>
                <w:rFonts w:hint="eastAsia" w:ascii="仿宋" w:hAnsi="仿宋" w:eastAsia="仿宋" w:cs="仿宋"/>
                <w:b/>
                <w:bCs/>
                <w:color w:val="auto"/>
                <w:sz w:val="28"/>
                <w:szCs w:val="28"/>
                <w:highlight w:val="none"/>
                <w:lang w:eastAsia="zh-CN"/>
              </w:rPr>
              <w:t>折扣</w:t>
            </w:r>
            <w:r>
              <w:rPr>
                <w:rFonts w:hint="eastAsia" w:ascii="仿宋" w:hAnsi="仿宋" w:eastAsia="仿宋" w:cs="仿宋"/>
                <w:b/>
                <w:bCs/>
                <w:color w:val="auto"/>
                <w:sz w:val="28"/>
                <w:szCs w:val="28"/>
                <w:highlight w:val="none"/>
              </w:rPr>
              <w:t>（例：当</w:t>
            </w:r>
            <w:r>
              <w:rPr>
                <w:rFonts w:hint="eastAsia" w:ascii="仿宋" w:hAnsi="仿宋" w:eastAsia="仿宋" w:cs="仿宋"/>
                <w:b/>
                <w:bCs/>
                <w:color w:val="auto"/>
                <w:sz w:val="28"/>
                <w:szCs w:val="28"/>
                <w:highlight w:val="none"/>
                <w:lang w:val="en-US" w:eastAsia="zh-CN"/>
              </w:rPr>
              <w:t>结算基准价</w:t>
            </w:r>
            <w:r>
              <w:rPr>
                <w:rFonts w:hint="eastAsia" w:ascii="仿宋" w:hAnsi="仿宋" w:eastAsia="仿宋" w:cs="仿宋"/>
                <w:b/>
                <w:bCs/>
                <w:color w:val="auto"/>
                <w:sz w:val="28"/>
                <w:szCs w:val="28"/>
                <w:highlight w:val="none"/>
              </w:rPr>
              <w:t>为10.00元，</w:t>
            </w:r>
            <w:r>
              <w:rPr>
                <w:rFonts w:hint="eastAsia" w:ascii="仿宋" w:hAnsi="仿宋" w:eastAsia="仿宋" w:cs="仿宋"/>
                <w:b/>
                <w:bCs/>
                <w:color w:val="auto"/>
                <w:sz w:val="28"/>
                <w:szCs w:val="28"/>
                <w:highlight w:val="none"/>
                <w:lang w:val="en-US" w:eastAsia="zh-CN"/>
              </w:rPr>
              <w:t>中标</w:t>
            </w:r>
            <w:r>
              <w:rPr>
                <w:rFonts w:hint="eastAsia" w:ascii="仿宋" w:hAnsi="仿宋" w:eastAsia="仿宋" w:cs="仿宋"/>
                <w:b/>
                <w:bCs/>
                <w:color w:val="auto"/>
                <w:sz w:val="28"/>
                <w:szCs w:val="28"/>
                <w:highlight w:val="none"/>
                <w:lang w:eastAsia="zh-CN"/>
              </w:rPr>
              <w:t>折扣</w:t>
            </w:r>
            <w:r>
              <w:rPr>
                <w:rFonts w:hint="eastAsia" w:ascii="仿宋" w:hAnsi="仿宋" w:eastAsia="仿宋" w:cs="仿宋"/>
                <w:b/>
                <w:bCs/>
                <w:color w:val="auto"/>
                <w:sz w:val="28"/>
                <w:szCs w:val="28"/>
                <w:highlight w:val="none"/>
              </w:rPr>
              <w:t>为</w:t>
            </w:r>
            <w:r>
              <w:rPr>
                <w:rFonts w:hint="eastAsia" w:ascii="仿宋" w:hAnsi="仿宋" w:eastAsia="仿宋" w:cs="仿宋"/>
                <w:b/>
                <w:bCs/>
                <w:color w:val="auto"/>
                <w:sz w:val="28"/>
                <w:szCs w:val="28"/>
                <w:highlight w:val="none"/>
                <w:lang w:val="en-US" w:eastAsia="zh-CN"/>
              </w:rPr>
              <w:t>8</w:t>
            </w:r>
            <w:r>
              <w:rPr>
                <w:rFonts w:hint="eastAsia" w:ascii="仿宋" w:hAnsi="仿宋" w:eastAsia="仿宋" w:cs="仿宋"/>
                <w:b/>
                <w:bCs/>
                <w:color w:val="auto"/>
                <w:sz w:val="28"/>
                <w:szCs w:val="28"/>
                <w:highlight w:val="none"/>
              </w:rPr>
              <w:t>7.00%时，结算价格=10.00元×</w:t>
            </w:r>
            <w:r>
              <w:rPr>
                <w:rFonts w:hint="eastAsia" w:ascii="仿宋" w:hAnsi="仿宋" w:eastAsia="仿宋" w:cs="仿宋"/>
                <w:b/>
                <w:bCs/>
                <w:color w:val="auto"/>
                <w:sz w:val="28"/>
                <w:szCs w:val="28"/>
                <w:highlight w:val="none"/>
                <w:lang w:val="en-US" w:eastAsia="zh-CN"/>
              </w:rPr>
              <w:t>8</w:t>
            </w:r>
            <w:r>
              <w:rPr>
                <w:rFonts w:hint="eastAsia" w:ascii="仿宋" w:hAnsi="仿宋" w:eastAsia="仿宋" w:cs="仿宋"/>
                <w:b/>
                <w:bCs/>
                <w:color w:val="auto"/>
                <w:sz w:val="28"/>
                <w:szCs w:val="28"/>
                <w:highlight w:val="none"/>
              </w:rPr>
              <w:t>7.00%=</w:t>
            </w:r>
            <w:r>
              <w:rPr>
                <w:rFonts w:hint="eastAsia" w:ascii="仿宋" w:hAnsi="仿宋" w:eastAsia="仿宋" w:cs="仿宋"/>
                <w:b/>
                <w:bCs/>
                <w:color w:val="auto"/>
                <w:sz w:val="28"/>
                <w:szCs w:val="28"/>
                <w:highlight w:val="none"/>
                <w:lang w:val="en-US" w:eastAsia="zh-CN"/>
              </w:rPr>
              <w:t>8</w:t>
            </w:r>
            <w:r>
              <w:rPr>
                <w:rFonts w:hint="eastAsia" w:ascii="仿宋" w:hAnsi="仿宋" w:eastAsia="仿宋" w:cs="仿宋"/>
                <w:b/>
                <w:bCs/>
                <w:color w:val="auto"/>
                <w:sz w:val="28"/>
                <w:szCs w:val="28"/>
                <w:highlight w:val="none"/>
              </w:rPr>
              <w:t>.70元）；</w:t>
            </w:r>
          </w:p>
          <w:p w14:paraId="34EDABB6">
            <w:pPr>
              <w:pStyle w:val="16"/>
              <w:keepNext w:val="0"/>
              <w:keepLines w:val="0"/>
              <w:pageBreakBefore w:val="0"/>
              <w:widowControl/>
              <w:kinsoku/>
              <w:wordWrap w:val="0"/>
              <w:overflowPunct/>
              <w:topLinePunct w:val="0"/>
              <w:autoSpaceDE/>
              <w:autoSpaceDN/>
              <w:bidi w:val="0"/>
              <w:adjustRightInd/>
              <w:snapToGrid/>
              <w:spacing w:line="360" w:lineRule="auto"/>
              <w:jc w:val="left"/>
              <w:textAlignment w:val="auto"/>
              <w:rPr>
                <w:rFonts w:hint="default"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3、本采购包结算基准价每月调整2次，中标人须按上述基准价格确定的原则分别在每月25日前将下一月度上半月、每月10日前将本月下半月的食材基准价及报价以书面的形式递交至采购人处审核，经双方确认后实施。除合同另有约定外，双方可以协商重新定价，否则一经定价，双方不得以任何理由加价或减价。</w:t>
            </w:r>
          </w:p>
          <w:p w14:paraId="5EEAA593">
            <w:pPr>
              <w:pStyle w:val="16"/>
              <w:keepNext w:val="0"/>
              <w:keepLines w:val="0"/>
              <w:pageBreakBefore w:val="0"/>
              <w:widowControl/>
              <w:kinsoku/>
              <w:wordWrap w:val="0"/>
              <w:overflowPunct/>
              <w:topLinePunct w:val="0"/>
              <w:autoSpaceDE/>
              <w:autoSpaceDN/>
              <w:bidi w:val="0"/>
              <w:adjustRightInd/>
              <w:snapToGrid/>
              <w:spacing w:line="360" w:lineRule="auto"/>
              <w:jc w:val="left"/>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lang w:val="en-US" w:eastAsia="zh-CN"/>
              </w:rPr>
              <w:t>4</w:t>
            </w:r>
            <w:r>
              <w:rPr>
                <w:rFonts w:hint="eastAsia" w:ascii="仿宋" w:hAnsi="仿宋" w:eastAsia="仿宋" w:cs="仿宋"/>
                <w:b/>
                <w:bCs/>
                <w:color w:val="auto"/>
                <w:sz w:val="28"/>
                <w:szCs w:val="28"/>
                <w:highlight w:val="none"/>
              </w:rPr>
              <w:t>、采购人在本合同项下支付的全部价款为含增值税金额，采购人不再另行向中标人支付增值税及相关附加税费。</w:t>
            </w:r>
          </w:p>
        </w:tc>
      </w:tr>
      <w:tr w14:paraId="4E633B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14" w:type="pct"/>
            <w:vAlign w:val="center"/>
          </w:tcPr>
          <w:p w14:paraId="0780BED9">
            <w:pPr>
              <w:pStyle w:val="16"/>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w:t>
            </w:r>
          </w:p>
        </w:tc>
        <w:tc>
          <w:tcPr>
            <w:tcW w:w="421" w:type="pct"/>
            <w:vAlign w:val="center"/>
          </w:tcPr>
          <w:p w14:paraId="403D0F24">
            <w:pPr>
              <w:pStyle w:val="16"/>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2</w:t>
            </w:r>
          </w:p>
        </w:tc>
        <w:tc>
          <w:tcPr>
            <w:tcW w:w="774" w:type="pct"/>
            <w:vAlign w:val="center"/>
          </w:tcPr>
          <w:p w14:paraId="1C6850D7">
            <w:pPr>
              <w:pStyle w:val="16"/>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项目规模</w:t>
            </w:r>
          </w:p>
        </w:tc>
        <w:tc>
          <w:tcPr>
            <w:tcW w:w="3289" w:type="pct"/>
          </w:tcPr>
          <w:p w14:paraId="0515364A">
            <w:pPr>
              <w:pStyle w:val="16"/>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b/>
                <w:bCs/>
                <w:color w:val="auto"/>
                <w:sz w:val="28"/>
                <w:szCs w:val="28"/>
                <w:highlight w:val="none"/>
                <w:lang w:eastAsia="zh-CN"/>
              </w:rPr>
            </w:pPr>
            <w:r>
              <w:rPr>
                <w:rFonts w:hint="eastAsia" w:ascii="仿宋" w:hAnsi="仿宋" w:eastAsia="仿宋" w:cs="仿宋"/>
                <w:b/>
                <w:bCs/>
                <w:color w:val="auto"/>
                <w:sz w:val="28"/>
                <w:szCs w:val="28"/>
                <w:highlight w:val="none"/>
              </w:rPr>
              <w:t>1、本</w:t>
            </w:r>
            <w:r>
              <w:rPr>
                <w:rFonts w:hint="eastAsia" w:ascii="仿宋" w:hAnsi="仿宋" w:eastAsia="仿宋" w:cs="仿宋"/>
                <w:b/>
                <w:bCs/>
                <w:color w:val="auto"/>
                <w:sz w:val="28"/>
                <w:szCs w:val="28"/>
                <w:highlight w:val="none"/>
                <w:lang w:val="en-US" w:eastAsia="zh-CN"/>
              </w:rPr>
              <w:t>采购包</w:t>
            </w:r>
            <w:r>
              <w:rPr>
                <w:rFonts w:hint="eastAsia" w:ascii="仿宋" w:hAnsi="仿宋" w:eastAsia="仿宋" w:cs="仿宋"/>
                <w:b/>
                <w:bCs/>
                <w:color w:val="auto"/>
                <w:sz w:val="28"/>
                <w:szCs w:val="28"/>
                <w:highlight w:val="none"/>
              </w:rPr>
              <w:t>合同履约期间采购人向中标人支付服务费用累计达到¥</w:t>
            </w:r>
            <w:r>
              <w:rPr>
                <w:rFonts w:hint="eastAsia" w:ascii="仿宋" w:hAnsi="仿宋" w:eastAsia="仿宋" w:cs="仿宋"/>
                <w:b/>
                <w:bCs/>
                <w:color w:val="auto"/>
                <w:sz w:val="28"/>
                <w:szCs w:val="28"/>
                <w:highlight w:val="none"/>
                <w:lang w:val="en-US" w:eastAsia="zh-CN"/>
              </w:rPr>
              <w:t>10</w:t>
            </w:r>
            <w:r>
              <w:rPr>
                <w:rFonts w:hint="eastAsia" w:ascii="仿宋" w:hAnsi="仿宋" w:eastAsia="仿宋" w:cs="仿宋"/>
                <w:b/>
                <w:bCs/>
                <w:color w:val="auto"/>
                <w:sz w:val="28"/>
                <w:szCs w:val="28"/>
                <w:highlight w:val="none"/>
              </w:rPr>
              <w:t>,000,000.00（大写：人民币</w:t>
            </w:r>
            <w:r>
              <w:rPr>
                <w:rFonts w:hint="eastAsia" w:ascii="仿宋" w:hAnsi="仿宋" w:eastAsia="仿宋" w:cs="仿宋"/>
                <w:b/>
                <w:bCs/>
                <w:color w:val="auto"/>
                <w:sz w:val="28"/>
                <w:szCs w:val="28"/>
                <w:highlight w:val="none"/>
                <w:lang w:val="en-US" w:eastAsia="zh-CN"/>
              </w:rPr>
              <w:t>壹仟万元整</w:t>
            </w:r>
            <w:r>
              <w:rPr>
                <w:rFonts w:hint="eastAsia" w:ascii="仿宋" w:hAnsi="仿宋" w:eastAsia="仿宋" w:cs="仿宋"/>
                <w:b/>
                <w:bCs/>
                <w:color w:val="auto"/>
                <w:sz w:val="28"/>
                <w:szCs w:val="28"/>
                <w:highlight w:val="none"/>
              </w:rPr>
              <w:t>）或服务期满</w:t>
            </w:r>
            <w:r>
              <w:rPr>
                <w:rFonts w:hint="eastAsia" w:ascii="仿宋" w:hAnsi="仿宋" w:eastAsia="仿宋" w:cs="仿宋"/>
                <w:b/>
                <w:bCs/>
                <w:color w:val="auto"/>
                <w:sz w:val="28"/>
                <w:szCs w:val="28"/>
                <w:highlight w:val="none"/>
                <w:lang w:val="en-US" w:eastAsia="zh-CN"/>
              </w:rPr>
              <w:t>3</w:t>
            </w:r>
            <w:r>
              <w:rPr>
                <w:rFonts w:hint="eastAsia" w:ascii="仿宋" w:hAnsi="仿宋" w:eastAsia="仿宋" w:cs="仿宋"/>
                <w:b/>
                <w:bCs/>
                <w:color w:val="auto"/>
                <w:sz w:val="28"/>
                <w:szCs w:val="28"/>
                <w:highlight w:val="none"/>
              </w:rPr>
              <w:t>年后，合同终止；本</w:t>
            </w:r>
            <w:r>
              <w:rPr>
                <w:rFonts w:hint="eastAsia" w:ascii="仿宋" w:hAnsi="仿宋" w:eastAsia="仿宋" w:cs="仿宋"/>
                <w:b/>
                <w:bCs/>
                <w:color w:val="auto"/>
                <w:sz w:val="28"/>
                <w:szCs w:val="28"/>
                <w:highlight w:val="none"/>
                <w:lang w:val="en-US" w:eastAsia="zh-CN"/>
              </w:rPr>
              <w:t>采购包</w:t>
            </w:r>
            <w:r>
              <w:rPr>
                <w:rFonts w:hint="eastAsia" w:ascii="仿宋" w:hAnsi="仿宋" w:eastAsia="仿宋" w:cs="仿宋"/>
                <w:b/>
                <w:bCs/>
                <w:color w:val="auto"/>
                <w:sz w:val="28"/>
                <w:szCs w:val="28"/>
                <w:highlight w:val="none"/>
              </w:rPr>
              <w:t>预算金额为预估金额，采购人无法预计也无法保证具体委托的业务数量及金额</w:t>
            </w:r>
            <w:r>
              <w:rPr>
                <w:rFonts w:hint="eastAsia" w:ascii="仿宋" w:hAnsi="仿宋" w:eastAsia="仿宋" w:cs="仿宋"/>
                <w:b/>
                <w:bCs/>
                <w:color w:val="auto"/>
                <w:sz w:val="28"/>
                <w:szCs w:val="28"/>
                <w:highlight w:val="none"/>
                <w:lang w:eastAsia="zh-CN"/>
              </w:rPr>
              <w:t>。</w:t>
            </w:r>
          </w:p>
          <w:p w14:paraId="57094899">
            <w:pPr>
              <w:pStyle w:val="16"/>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2、采购人根据《广东省财政厅关于落实2025年政府采购脱贫地区农副产品工作的通知》（粤财采购〔2025〕2号）要求，原则上需要预留总预算一定金额向脱贫认定单位供货商采购，中标人必须无条件配合。</w:t>
            </w:r>
          </w:p>
          <w:p w14:paraId="692DA81C">
            <w:pPr>
              <w:pStyle w:val="16"/>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注：中标人不得以上述条款为由拒绝履行合同约定的义务，否则采购人有权解除合同并追究中标人违约责任。（投标人须针对上述条款提供承诺函并加盖投标人公章，承诺函格式自拟）</w:t>
            </w:r>
          </w:p>
        </w:tc>
      </w:tr>
      <w:tr w14:paraId="74C5A2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14" w:type="pct"/>
            <w:vAlign w:val="center"/>
          </w:tcPr>
          <w:p w14:paraId="1130B9BE">
            <w:pPr>
              <w:pStyle w:val="16"/>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w:t>
            </w:r>
          </w:p>
        </w:tc>
        <w:tc>
          <w:tcPr>
            <w:tcW w:w="421" w:type="pct"/>
            <w:vAlign w:val="center"/>
          </w:tcPr>
          <w:p w14:paraId="26C839A2">
            <w:pPr>
              <w:pStyle w:val="16"/>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3</w:t>
            </w:r>
          </w:p>
        </w:tc>
        <w:tc>
          <w:tcPr>
            <w:tcW w:w="774" w:type="pct"/>
            <w:vAlign w:val="center"/>
          </w:tcPr>
          <w:p w14:paraId="2F12032D">
            <w:pPr>
              <w:pStyle w:val="16"/>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保险要求</w:t>
            </w:r>
          </w:p>
        </w:tc>
        <w:tc>
          <w:tcPr>
            <w:tcW w:w="3289" w:type="pct"/>
          </w:tcPr>
          <w:p w14:paraId="65766FFB">
            <w:pPr>
              <w:pStyle w:val="16"/>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因本项目为食材配送服务，可能因疏忽或过失致使食物中毒或其他食源性疾患或因食物中掺有异物，造成人身损害或财产损失，为保证采购人权益，中标人须以承诺函形式承诺</w:t>
            </w:r>
            <w:r>
              <w:rPr>
                <w:rFonts w:hint="eastAsia" w:ascii="仿宋" w:hAnsi="仿宋" w:eastAsia="仿宋" w:cs="仿宋"/>
                <w:b/>
                <w:bCs/>
                <w:color w:val="auto"/>
                <w:sz w:val="28"/>
                <w:szCs w:val="28"/>
                <w:highlight w:val="none"/>
                <w:lang w:eastAsia="zh-CN"/>
              </w:rPr>
              <w:t>：</w:t>
            </w:r>
            <w:r>
              <w:rPr>
                <w:rFonts w:hint="eastAsia" w:ascii="仿宋" w:hAnsi="仿宋" w:eastAsia="仿宋" w:cs="仿宋"/>
                <w:b/>
                <w:bCs/>
                <w:color w:val="auto"/>
                <w:sz w:val="28"/>
                <w:szCs w:val="28"/>
                <w:highlight w:val="none"/>
              </w:rPr>
              <w:t>中标后为采购人提供一份以采购人为受益人、</w:t>
            </w:r>
            <w:r>
              <w:rPr>
                <w:rFonts w:hint="eastAsia" w:ascii="仿宋" w:hAnsi="仿宋" w:eastAsia="仿宋" w:cs="仿宋"/>
                <w:b/>
                <w:bCs/>
                <w:color w:val="auto"/>
                <w:sz w:val="28"/>
                <w:szCs w:val="28"/>
                <w:highlight w:val="none"/>
                <w:lang w:val="en-US" w:eastAsia="zh-CN"/>
              </w:rPr>
              <w:t>保险</w:t>
            </w:r>
            <w:r>
              <w:rPr>
                <w:rFonts w:hint="eastAsia" w:ascii="仿宋" w:hAnsi="仿宋" w:eastAsia="仿宋" w:cs="仿宋"/>
                <w:b/>
                <w:bCs/>
                <w:color w:val="auto"/>
                <w:sz w:val="28"/>
                <w:szCs w:val="28"/>
                <w:highlight w:val="none"/>
              </w:rPr>
              <w:t>额度</w:t>
            </w:r>
            <w:r>
              <w:rPr>
                <w:rFonts w:hint="eastAsia" w:ascii="仿宋" w:hAnsi="仿宋" w:eastAsia="仿宋" w:cs="仿宋"/>
                <w:b/>
                <w:bCs/>
                <w:color w:val="auto"/>
                <w:sz w:val="28"/>
                <w:szCs w:val="28"/>
                <w:highlight w:val="none"/>
                <w:lang w:val="en-US" w:eastAsia="zh-CN"/>
              </w:rPr>
              <w:t>≥¥10,000,000.00（大写：人民币壹仟万元整）</w:t>
            </w:r>
            <w:r>
              <w:rPr>
                <w:rFonts w:hint="eastAsia" w:ascii="仿宋" w:hAnsi="仿宋" w:eastAsia="仿宋" w:cs="仿宋"/>
                <w:b/>
                <w:bCs/>
                <w:color w:val="auto"/>
                <w:sz w:val="28"/>
                <w:szCs w:val="28"/>
                <w:highlight w:val="none"/>
              </w:rPr>
              <w:t>的食品安全责任险，保险期限不短于</w:t>
            </w:r>
            <w:r>
              <w:rPr>
                <w:rFonts w:hint="eastAsia" w:ascii="仿宋" w:hAnsi="仿宋" w:eastAsia="仿宋" w:cs="仿宋"/>
                <w:b/>
                <w:bCs/>
                <w:color w:val="auto"/>
                <w:sz w:val="28"/>
                <w:szCs w:val="28"/>
                <w:highlight w:val="none"/>
                <w:lang w:val="en-US" w:eastAsia="zh-CN"/>
              </w:rPr>
              <w:t>本项目</w:t>
            </w:r>
            <w:r>
              <w:rPr>
                <w:rFonts w:hint="eastAsia" w:ascii="仿宋" w:hAnsi="仿宋" w:eastAsia="仿宋" w:cs="仿宋"/>
                <w:b/>
                <w:bCs/>
                <w:color w:val="auto"/>
                <w:sz w:val="28"/>
                <w:szCs w:val="28"/>
                <w:highlight w:val="none"/>
              </w:rPr>
              <w:t>合同</w:t>
            </w:r>
            <w:r>
              <w:rPr>
                <w:rFonts w:hint="eastAsia" w:ascii="仿宋" w:hAnsi="仿宋" w:eastAsia="仿宋" w:cs="仿宋"/>
                <w:b/>
                <w:bCs/>
                <w:color w:val="auto"/>
                <w:sz w:val="28"/>
                <w:szCs w:val="28"/>
                <w:highlight w:val="none"/>
                <w:lang w:val="en-US" w:eastAsia="zh-CN"/>
              </w:rPr>
              <w:t>服务</w:t>
            </w:r>
            <w:r>
              <w:rPr>
                <w:rFonts w:hint="eastAsia" w:ascii="仿宋" w:hAnsi="仿宋" w:eastAsia="仿宋" w:cs="仿宋"/>
                <w:b/>
                <w:bCs/>
                <w:color w:val="auto"/>
                <w:sz w:val="28"/>
                <w:szCs w:val="28"/>
                <w:highlight w:val="none"/>
              </w:rPr>
              <w:t>期</w:t>
            </w:r>
            <w:r>
              <w:rPr>
                <w:rFonts w:hint="eastAsia" w:ascii="仿宋" w:hAnsi="仿宋" w:eastAsia="仿宋" w:cs="仿宋"/>
                <w:b/>
                <w:bCs/>
                <w:color w:val="auto"/>
                <w:sz w:val="28"/>
                <w:szCs w:val="28"/>
                <w:highlight w:val="none"/>
                <w:lang w:eastAsia="zh-CN"/>
              </w:rPr>
              <w:t>，</w:t>
            </w:r>
            <w:r>
              <w:rPr>
                <w:rFonts w:hint="eastAsia" w:ascii="仿宋" w:hAnsi="仿宋" w:eastAsia="仿宋" w:cs="仿宋"/>
                <w:b/>
                <w:bCs/>
                <w:color w:val="auto"/>
                <w:sz w:val="28"/>
                <w:szCs w:val="28"/>
                <w:highlight w:val="none"/>
                <w:lang w:val="en-US" w:eastAsia="zh-CN"/>
              </w:rPr>
              <w:t>本项目合同签订后须将</w:t>
            </w:r>
            <w:r>
              <w:rPr>
                <w:rFonts w:hint="eastAsia" w:ascii="仿宋" w:hAnsi="仿宋" w:eastAsia="仿宋" w:cs="仿宋"/>
                <w:b/>
                <w:bCs/>
                <w:color w:val="auto"/>
                <w:sz w:val="28"/>
                <w:szCs w:val="28"/>
                <w:highlight w:val="none"/>
              </w:rPr>
              <w:t>保单</w:t>
            </w:r>
            <w:r>
              <w:rPr>
                <w:rFonts w:hint="eastAsia" w:ascii="仿宋" w:hAnsi="仿宋" w:eastAsia="仿宋" w:cs="仿宋"/>
                <w:b/>
                <w:bCs/>
                <w:color w:val="auto"/>
                <w:sz w:val="28"/>
                <w:szCs w:val="28"/>
                <w:highlight w:val="none"/>
                <w:lang w:val="en-US" w:eastAsia="zh-CN"/>
              </w:rPr>
              <w:t>递交至</w:t>
            </w:r>
            <w:r>
              <w:rPr>
                <w:rFonts w:hint="eastAsia" w:ascii="仿宋" w:hAnsi="仿宋" w:eastAsia="仿宋" w:cs="仿宋"/>
                <w:b/>
                <w:bCs/>
                <w:color w:val="auto"/>
                <w:sz w:val="28"/>
                <w:szCs w:val="28"/>
                <w:highlight w:val="none"/>
              </w:rPr>
              <w:t>采购人</w:t>
            </w:r>
            <w:r>
              <w:rPr>
                <w:rFonts w:hint="eastAsia" w:ascii="仿宋" w:hAnsi="仿宋" w:eastAsia="仿宋" w:cs="仿宋"/>
                <w:b/>
                <w:bCs/>
                <w:color w:val="auto"/>
                <w:sz w:val="28"/>
                <w:szCs w:val="28"/>
                <w:highlight w:val="none"/>
                <w:lang w:val="en-US" w:eastAsia="zh-CN"/>
              </w:rPr>
              <w:t>处存档待查</w:t>
            </w:r>
            <w:r>
              <w:rPr>
                <w:rFonts w:hint="eastAsia" w:ascii="仿宋" w:hAnsi="仿宋" w:eastAsia="仿宋" w:cs="仿宋"/>
                <w:b/>
                <w:bCs/>
                <w:color w:val="auto"/>
                <w:sz w:val="28"/>
                <w:szCs w:val="28"/>
                <w:highlight w:val="none"/>
              </w:rPr>
              <w:t>。（投标人须提供承诺函加盖投标人公章，承诺函格式自拟）</w:t>
            </w:r>
          </w:p>
        </w:tc>
      </w:tr>
      <w:tr w14:paraId="5B7110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14" w:type="pct"/>
            <w:vAlign w:val="center"/>
          </w:tcPr>
          <w:p w14:paraId="316F42F3">
            <w:pPr>
              <w:pStyle w:val="16"/>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w:t>
            </w:r>
          </w:p>
        </w:tc>
        <w:tc>
          <w:tcPr>
            <w:tcW w:w="421" w:type="pct"/>
            <w:vAlign w:val="center"/>
          </w:tcPr>
          <w:p w14:paraId="2AEC315A">
            <w:pPr>
              <w:pStyle w:val="16"/>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4</w:t>
            </w:r>
          </w:p>
        </w:tc>
        <w:tc>
          <w:tcPr>
            <w:tcW w:w="774" w:type="pct"/>
            <w:vAlign w:val="center"/>
          </w:tcPr>
          <w:p w14:paraId="5870BD6D">
            <w:pPr>
              <w:pStyle w:val="16"/>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报价说明</w:t>
            </w:r>
          </w:p>
        </w:tc>
        <w:tc>
          <w:tcPr>
            <w:tcW w:w="3289" w:type="pct"/>
          </w:tcPr>
          <w:p w14:paraId="71A60185">
            <w:pPr>
              <w:pStyle w:val="16"/>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本</w:t>
            </w:r>
            <w:r>
              <w:rPr>
                <w:rFonts w:hint="eastAsia" w:ascii="仿宋" w:hAnsi="仿宋" w:eastAsia="仿宋" w:cs="仿宋"/>
                <w:b/>
                <w:bCs/>
                <w:color w:val="auto"/>
                <w:sz w:val="28"/>
                <w:szCs w:val="28"/>
                <w:highlight w:val="none"/>
                <w:lang w:val="en-US" w:eastAsia="zh-CN"/>
              </w:rPr>
              <w:t>采购包</w:t>
            </w:r>
            <w:r>
              <w:rPr>
                <w:rFonts w:hint="eastAsia" w:ascii="仿宋" w:hAnsi="仿宋" w:eastAsia="仿宋" w:cs="仿宋"/>
                <w:b/>
                <w:bCs/>
                <w:color w:val="auto"/>
                <w:sz w:val="28"/>
                <w:szCs w:val="28"/>
                <w:highlight w:val="none"/>
              </w:rPr>
              <w:t>报价为</w:t>
            </w:r>
            <w:r>
              <w:rPr>
                <w:rFonts w:hint="eastAsia" w:ascii="仿宋" w:hAnsi="仿宋" w:eastAsia="仿宋" w:cs="仿宋"/>
                <w:b/>
                <w:bCs/>
                <w:color w:val="auto"/>
                <w:sz w:val="28"/>
                <w:szCs w:val="28"/>
                <w:highlight w:val="none"/>
                <w:lang w:eastAsia="zh-CN"/>
              </w:rPr>
              <w:t>折扣</w:t>
            </w:r>
            <w:r>
              <w:rPr>
                <w:rFonts w:hint="eastAsia" w:ascii="仿宋" w:hAnsi="仿宋" w:eastAsia="仿宋" w:cs="仿宋"/>
                <w:b/>
                <w:bCs/>
                <w:color w:val="auto"/>
                <w:sz w:val="28"/>
                <w:szCs w:val="28"/>
                <w:highlight w:val="none"/>
              </w:rPr>
              <w:t>报价，</w:t>
            </w:r>
            <w:r>
              <w:rPr>
                <w:rFonts w:hint="eastAsia" w:ascii="仿宋" w:hAnsi="仿宋" w:eastAsia="仿宋" w:cs="仿宋"/>
                <w:b/>
                <w:bCs/>
                <w:color w:val="auto"/>
                <w:sz w:val="28"/>
                <w:szCs w:val="28"/>
                <w:highlight w:val="none"/>
                <w:lang w:eastAsia="zh-CN"/>
              </w:rPr>
              <w:t>折扣</w:t>
            </w:r>
            <w:r>
              <w:rPr>
                <w:rFonts w:hint="eastAsia" w:ascii="仿宋" w:hAnsi="仿宋" w:eastAsia="仿宋" w:cs="仿宋"/>
                <w:b/>
                <w:bCs/>
                <w:color w:val="auto"/>
                <w:sz w:val="28"/>
                <w:szCs w:val="28"/>
                <w:highlight w:val="none"/>
              </w:rPr>
              <w:t>报价范围为：0.00%（不含）-</w:t>
            </w:r>
            <w:r>
              <w:rPr>
                <w:rFonts w:hint="eastAsia" w:ascii="仿宋" w:hAnsi="仿宋" w:eastAsia="仿宋" w:cs="仿宋"/>
                <w:b/>
                <w:bCs/>
                <w:color w:val="auto"/>
                <w:sz w:val="28"/>
                <w:szCs w:val="28"/>
                <w:highlight w:val="none"/>
                <w:lang w:val="en-US" w:eastAsia="zh-CN"/>
              </w:rPr>
              <w:t>90</w:t>
            </w:r>
            <w:r>
              <w:rPr>
                <w:rFonts w:hint="eastAsia" w:ascii="仿宋" w:hAnsi="仿宋" w:eastAsia="仿宋" w:cs="仿宋"/>
                <w:b/>
                <w:bCs/>
                <w:color w:val="auto"/>
                <w:sz w:val="28"/>
                <w:szCs w:val="28"/>
                <w:highlight w:val="none"/>
              </w:rPr>
              <w:t>.00%（含）。报价（</w:t>
            </w:r>
            <w:r>
              <w:rPr>
                <w:rFonts w:hint="eastAsia" w:ascii="仿宋" w:hAnsi="仿宋" w:eastAsia="仿宋" w:cs="仿宋"/>
                <w:b/>
                <w:bCs/>
                <w:color w:val="auto"/>
                <w:sz w:val="28"/>
                <w:szCs w:val="28"/>
                <w:highlight w:val="none"/>
                <w:lang w:eastAsia="zh-CN"/>
              </w:rPr>
              <w:t>折扣</w:t>
            </w:r>
            <w:r>
              <w:rPr>
                <w:rFonts w:hint="eastAsia" w:ascii="仿宋" w:hAnsi="仿宋" w:eastAsia="仿宋" w:cs="仿宋"/>
                <w:b/>
                <w:bCs/>
                <w:color w:val="auto"/>
                <w:sz w:val="28"/>
                <w:szCs w:val="28"/>
                <w:highlight w:val="none"/>
              </w:rPr>
              <w:t>）应包含完成本</w:t>
            </w:r>
            <w:r>
              <w:rPr>
                <w:rFonts w:hint="eastAsia" w:ascii="仿宋" w:hAnsi="仿宋" w:eastAsia="仿宋" w:cs="仿宋"/>
                <w:b/>
                <w:bCs/>
                <w:color w:val="auto"/>
                <w:sz w:val="28"/>
                <w:szCs w:val="28"/>
                <w:highlight w:val="none"/>
                <w:lang w:val="en-US" w:eastAsia="zh-CN"/>
              </w:rPr>
              <w:t>采购包</w:t>
            </w:r>
            <w:r>
              <w:rPr>
                <w:rFonts w:hint="eastAsia" w:ascii="仿宋" w:hAnsi="仿宋" w:eastAsia="仿宋" w:cs="仿宋"/>
                <w:b/>
                <w:bCs/>
                <w:color w:val="auto"/>
                <w:sz w:val="28"/>
                <w:szCs w:val="28"/>
                <w:highlight w:val="none"/>
              </w:rPr>
              <w:t>所有服务内容的费用，包括但不限于购货或自产养种植成本、包装配送运输、保险、装卸服务、粗加工、退换、雇员费用、质保期售后服务、全额含税发票、合同实施过程中的应预见和不可预见费用等。中标人必须充分考虑</w:t>
            </w:r>
            <w:r>
              <w:rPr>
                <w:rFonts w:hint="eastAsia" w:ascii="仿宋" w:hAnsi="仿宋" w:eastAsia="仿宋" w:cs="仿宋"/>
                <w:b/>
                <w:bCs/>
                <w:color w:val="auto"/>
                <w:sz w:val="28"/>
                <w:szCs w:val="28"/>
                <w:highlight w:val="none"/>
                <w:lang w:val="en-US" w:eastAsia="zh-CN"/>
              </w:rPr>
              <w:t>履约</w:t>
            </w:r>
            <w:r>
              <w:rPr>
                <w:rFonts w:hint="eastAsia" w:ascii="仿宋" w:hAnsi="仿宋" w:eastAsia="仿宋" w:cs="仿宋"/>
                <w:b/>
                <w:bCs/>
                <w:color w:val="auto"/>
                <w:sz w:val="28"/>
                <w:szCs w:val="28"/>
                <w:highlight w:val="none"/>
              </w:rPr>
              <w:t>期间的一切可能产生的风险和相关费用，采购人将拒绝支付合同约定货款之外的任何费用和补偿。</w:t>
            </w:r>
          </w:p>
        </w:tc>
      </w:tr>
      <w:tr w14:paraId="626872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36" w:type="pct"/>
            <w:gridSpan w:val="2"/>
            <w:vAlign w:val="center"/>
          </w:tcPr>
          <w:p w14:paraId="6C416BCC">
            <w:pPr>
              <w:pStyle w:val="16"/>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说明</w:t>
            </w:r>
          </w:p>
        </w:tc>
        <w:tc>
          <w:tcPr>
            <w:tcW w:w="4063" w:type="pct"/>
            <w:gridSpan w:val="2"/>
          </w:tcPr>
          <w:p w14:paraId="7A955EDC">
            <w:pPr>
              <w:pStyle w:val="16"/>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打“★”号条款为实质性条款，若有任何一条负偏离或不满足则导致投标（响应）无效。</w:t>
            </w:r>
          </w:p>
          <w:p w14:paraId="5BC9A6BE">
            <w:pPr>
              <w:pStyle w:val="16"/>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打“▲”号条款为重要参数（如有），若有部分“▲”条款未响应或不满足，将根据评审要求影响其得分，但不作为无效投标（响应）条款。</w:t>
            </w:r>
          </w:p>
        </w:tc>
      </w:tr>
    </w:tbl>
    <w:p w14:paraId="2D764F37">
      <w:pPr>
        <w:pStyle w:val="16"/>
        <w:spacing w:line="360" w:lineRule="auto"/>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2.技术标准与要求</w:t>
      </w:r>
    </w:p>
    <w:tbl>
      <w:tblPr>
        <w:tblStyle w:val="12"/>
        <w:tblW w:w="4997" w:type="pct"/>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455"/>
        <w:gridCol w:w="831"/>
        <w:gridCol w:w="1416"/>
        <w:gridCol w:w="450"/>
        <w:gridCol w:w="750"/>
        <w:gridCol w:w="1817"/>
        <w:gridCol w:w="1817"/>
        <w:gridCol w:w="701"/>
        <w:gridCol w:w="819"/>
      </w:tblGrid>
      <w:tr w14:paraId="7D4E0F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251" w:type="pct"/>
            <w:vAlign w:val="center"/>
          </w:tcPr>
          <w:p w14:paraId="445CE227">
            <w:pPr>
              <w:pStyle w:val="16"/>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序号</w:t>
            </w:r>
          </w:p>
        </w:tc>
        <w:tc>
          <w:tcPr>
            <w:tcW w:w="458" w:type="pct"/>
            <w:vAlign w:val="center"/>
          </w:tcPr>
          <w:p w14:paraId="398C45F8">
            <w:pPr>
              <w:pStyle w:val="16"/>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品目名称</w:t>
            </w:r>
          </w:p>
        </w:tc>
        <w:tc>
          <w:tcPr>
            <w:tcW w:w="781" w:type="pct"/>
            <w:vAlign w:val="center"/>
          </w:tcPr>
          <w:p w14:paraId="79585788">
            <w:pPr>
              <w:pStyle w:val="16"/>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标的名称</w:t>
            </w:r>
          </w:p>
        </w:tc>
        <w:tc>
          <w:tcPr>
            <w:tcW w:w="248" w:type="pct"/>
            <w:vAlign w:val="center"/>
          </w:tcPr>
          <w:p w14:paraId="3A79CD23">
            <w:pPr>
              <w:pStyle w:val="16"/>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单位</w:t>
            </w:r>
          </w:p>
        </w:tc>
        <w:tc>
          <w:tcPr>
            <w:tcW w:w="414" w:type="pct"/>
            <w:vAlign w:val="center"/>
          </w:tcPr>
          <w:p w14:paraId="6F8D13B0">
            <w:pPr>
              <w:pStyle w:val="16"/>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数量</w:t>
            </w:r>
          </w:p>
        </w:tc>
        <w:tc>
          <w:tcPr>
            <w:tcW w:w="1003" w:type="pct"/>
            <w:vAlign w:val="center"/>
          </w:tcPr>
          <w:p w14:paraId="132BE470">
            <w:pPr>
              <w:pStyle w:val="16"/>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分项预算单价（元）</w:t>
            </w:r>
          </w:p>
        </w:tc>
        <w:tc>
          <w:tcPr>
            <w:tcW w:w="1003" w:type="pct"/>
            <w:vAlign w:val="center"/>
          </w:tcPr>
          <w:p w14:paraId="3D1C1997">
            <w:pPr>
              <w:pStyle w:val="16"/>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分项预算总价（元）</w:t>
            </w:r>
          </w:p>
        </w:tc>
        <w:tc>
          <w:tcPr>
            <w:tcW w:w="387" w:type="pct"/>
            <w:vAlign w:val="center"/>
          </w:tcPr>
          <w:p w14:paraId="40EC5B6D">
            <w:pPr>
              <w:pStyle w:val="16"/>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所属行业</w:t>
            </w:r>
          </w:p>
        </w:tc>
        <w:tc>
          <w:tcPr>
            <w:tcW w:w="452" w:type="pct"/>
            <w:vAlign w:val="center"/>
          </w:tcPr>
          <w:p w14:paraId="02671D08">
            <w:pPr>
              <w:pStyle w:val="16"/>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技术要求</w:t>
            </w:r>
          </w:p>
        </w:tc>
      </w:tr>
      <w:tr w14:paraId="2F2DF6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251" w:type="pct"/>
            <w:vAlign w:val="center"/>
          </w:tcPr>
          <w:p w14:paraId="1B71BD15">
            <w:pPr>
              <w:pStyle w:val="16"/>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p>
        </w:tc>
        <w:tc>
          <w:tcPr>
            <w:tcW w:w="458" w:type="pct"/>
            <w:vAlign w:val="center"/>
          </w:tcPr>
          <w:p w14:paraId="31A82210">
            <w:pPr>
              <w:pStyle w:val="16"/>
              <w:spacing w:line="360" w:lineRule="auto"/>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其他</w:t>
            </w:r>
            <w:r>
              <w:rPr>
                <w:rFonts w:hint="eastAsia" w:ascii="仿宋" w:hAnsi="仿宋" w:eastAsia="仿宋" w:cs="仿宋"/>
                <w:color w:val="auto"/>
                <w:sz w:val="24"/>
                <w:szCs w:val="24"/>
                <w:highlight w:val="none"/>
                <w:lang w:eastAsia="zh-CN"/>
              </w:rPr>
              <w:t>批发服务</w:t>
            </w:r>
          </w:p>
        </w:tc>
        <w:tc>
          <w:tcPr>
            <w:tcW w:w="781" w:type="pct"/>
            <w:vAlign w:val="center"/>
          </w:tcPr>
          <w:p w14:paraId="0E05A84F">
            <w:pPr>
              <w:pStyle w:val="16"/>
              <w:spacing w:line="360" w:lineRule="auto"/>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蔬菜、鲜肉及水产类食材配送服务</w:t>
            </w:r>
          </w:p>
        </w:tc>
        <w:tc>
          <w:tcPr>
            <w:tcW w:w="248" w:type="pct"/>
            <w:vAlign w:val="center"/>
          </w:tcPr>
          <w:p w14:paraId="4E05BF2E">
            <w:pPr>
              <w:pStyle w:val="16"/>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项</w:t>
            </w:r>
          </w:p>
        </w:tc>
        <w:tc>
          <w:tcPr>
            <w:tcW w:w="414" w:type="pct"/>
            <w:vAlign w:val="center"/>
          </w:tcPr>
          <w:p w14:paraId="4C2B667A">
            <w:pPr>
              <w:pStyle w:val="16"/>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1.00</w:t>
            </w:r>
          </w:p>
        </w:tc>
        <w:tc>
          <w:tcPr>
            <w:tcW w:w="1003" w:type="pct"/>
            <w:vAlign w:val="center"/>
          </w:tcPr>
          <w:p w14:paraId="680E3132">
            <w:pPr>
              <w:pStyle w:val="16"/>
              <w:spacing w:line="360" w:lineRule="auto"/>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10</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0</w:t>
            </w:r>
            <w:r>
              <w:rPr>
                <w:rFonts w:hint="eastAsia" w:ascii="仿宋" w:hAnsi="仿宋" w:eastAsia="仿宋" w:cs="仿宋"/>
                <w:color w:val="auto"/>
                <w:sz w:val="24"/>
                <w:szCs w:val="24"/>
                <w:highlight w:val="none"/>
                <w:lang w:eastAsia="zh-CN"/>
              </w:rPr>
              <w:t>00,000.00</w:t>
            </w:r>
          </w:p>
        </w:tc>
        <w:tc>
          <w:tcPr>
            <w:tcW w:w="1003" w:type="pct"/>
            <w:shd w:val="clear" w:color="auto" w:fill="auto"/>
            <w:vAlign w:val="center"/>
          </w:tcPr>
          <w:p w14:paraId="279E61B1">
            <w:pPr>
              <w:pStyle w:val="16"/>
              <w:spacing w:line="36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10</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0</w:t>
            </w:r>
            <w:r>
              <w:rPr>
                <w:rFonts w:hint="eastAsia" w:ascii="仿宋" w:hAnsi="仿宋" w:eastAsia="仿宋" w:cs="仿宋"/>
                <w:color w:val="auto"/>
                <w:sz w:val="24"/>
                <w:szCs w:val="24"/>
                <w:highlight w:val="none"/>
                <w:lang w:eastAsia="zh-CN"/>
              </w:rPr>
              <w:t>00,000.00</w:t>
            </w:r>
          </w:p>
        </w:tc>
        <w:tc>
          <w:tcPr>
            <w:tcW w:w="387" w:type="pct"/>
            <w:vAlign w:val="center"/>
          </w:tcPr>
          <w:p w14:paraId="742BD27A">
            <w:pPr>
              <w:pStyle w:val="16"/>
              <w:spacing w:line="360" w:lineRule="auto"/>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批发业</w:t>
            </w:r>
          </w:p>
        </w:tc>
        <w:tc>
          <w:tcPr>
            <w:tcW w:w="452" w:type="pct"/>
            <w:vAlign w:val="center"/>
          </w:tcPr>
          <w:p w14:paraId="68C92CF9">
            <w:pPr>
              <w:pStyle w:val="16"/>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详见附表一</w:t>
            </w:r>
          </w:p>
        </w:tc>
      </w:tr>
    </w:tbl>
    <w:p w14:paraId="074CBEC4">
      <w:pPr>
        <w:pStyle w:val="16"/>
        <w:spacing w:line="360" w:lineRule="auto"/>
        <w:rPr>
          <w:rFonts w:hint="eastAsia" w:ascii="仿宋" w:hAnsi="仿宋" w:eastAsia="仿宋" w:cs="仿宋"/>
          <w:color w:val="auto"/>
          <w:sz w:val="28"/>
          <w:szCs w:val="28"/>
          <w:highlight w:val="none"/>
          <w:lang w:eastAsia="zh-CN"/>
        </w:rPr>
      </w:pPr>
      <w:r>
        <w:rPr>
          <w:rFonts w:hint="eastAsia" w:ascii="仿宋" w:hAnsi="仿宋" w:eastAsia="仿宋" w:cs="仿宋"/>
          <w:b/>
          <w:color w:val="auto"/>
          <w:sz w:val="28"/>
          <w:szCs w:val="28"/>
          <w:highlight w:val="none"/>
        </w:rPr>
        <w:t>附表一：</w:t>
      </w:r>
      <w:r>
        <w:rPr>
          <w:rFonts w:hint="eastAsia" w:ascii="仿宋" w:hAnsi="仿宋" w:eastAsia="仿宋" w:cs="仿宋"/>
          <w:b/>
          <w:color w:val="auto"/>
          <w:sz w:val="28"/>
          <w:szCs w:val="28"/>
          <w:highlight w:val="none"/>
          <w:lang w:eastAsia="zh-CN"/>
        </w:rPr>
        <w:t>蔬菜、鲜肉及水产类食材配送服务</w:t>
      </w:r>
    </w:p>
    <w:tbl>
      <w:tblPr>
        <w:tblStyle w:val="12"/>
        <w:tblW w:w="4998" w:type="pct"/>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21"/>
        <w:gridCol w:w="652"/>
        <w:gridCol w:w="7584"/>
      </w:tblGrid>
      <w:tr w14:paraId="5BC4A3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0" w:hRule="atLeast"/>
          <w:jc w:val="center"/>
        </w:trPr>
        <w:tc>
          <w:tcPr>
            <w:tcW w:w="453" w:type="pct"/>
            <w:vAlign w:val="center"/>
          </w:tcPr>
          <w:p w14:paraId="3E248CA9">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参数性质</w:t>
            </w:r>
          </w:p>
        </w:tc>
        <w:tc>
          <w:tcPr>
            <w:tcW w:w="359" w:type="pct"/>
            <w:vAlign w:val="center"/>
          </w:tcPr>
          <w:p w14:paraId="548C5A62">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序号</w:t>
            </w:r>
          </w:p>
        </w:tc>
        <w:tc>
          <w:tcPr>
            <w:tcW w:w="4186" w:type="pct"/>
            <w:vAlign w:val="center"/>
          </w:tcPr>
          <w:p w14:paraId="2AFFE884">
            <w:pPr>
              <w:pStyle w:val="16"/>
              <w:spacing w:line="360" w:lineRule="auto"/>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具体技术(参数)要求</w:t>
            </w:r>
          </w:p>
        </w:tc>
      </w:tr>
      <w:tr w14:paraId="322889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0" w:hRule="atLeast"/>
          <w:jc w:val="center"/>
        </w:trPr>
        <w:tc>
          <w:tcPr>
            <w:tcW w:w="453" w:type="pct"/>
            <w:vAlign w:val="center"/>
          </w:tcPr>
          <w:p w14:paraId="2B27ECB8">
            <w:pPr>
              <w:spacing w:line="360" w:lineRule="auto"/>
              <w:jc w:val="center"/>
              <w:rPr>
                <w:rFonts w:hint="eastAsia" w:ascii="仿宋" w:hAnsi="仿宋" w:eastAsia="仿宋" w:cs="仿宋"/>
                <w:color w:val="auto"/>
                <w:sz w:val="28"/>
                <w:szCs w:val="28"/>
                <w:highlight w:val="none"/>
              </w:rPr>
            </w:pPr>
          </w:p>
        </w:tc>
        <w:tc>
          <w:tcPr>
            <w:tcW w:w="359" w:type="pct"/>
            <w:vAlign w:val="center"/>
          </w:tcPr>
          <w:p w14:paraId="47DEDFE8">
            <w:pPr>
              <w:pStyle w:val="16"/>
              <w:spacing w:line="360" w:lineRule="auto"/>
              <w:jc w:val="center"/>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w:t>
            </w:r>
          </w:p>
        </w:tc>
        <w:tc>
          <w:tcPr>
            <w:tcW w:w="4186" w:type="pct"/>
          </w:tcPr>
          <w:p w14:paraId="1D84F12B">
            <w:pPr>
              <w:spacing w:line="360" w:lineRule="auto"/>
              <w:rPr>
                <w:rFonts w:hint="default"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一、采购内容</w:t>
            </w:r>
          </w:p>
          <w:p w14:paraId="432A345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仿宋" w:hAnsi="仿宋" w:eastAsia="仿宋" w:cs="仿宋"/>
                <w:b w:val="0"/>
                <w:bCs w:val="0"/>
                <w:color w:val="auto"/>
                <w:sz w:val="28"/>
                <w:szCs w:val="28"/>
                <w:highlight w:val="none"/>
                <w:lang w:val="en-US" w:eastAsia="zh-CN"/>
              </w:rPr>
            </w:pPr>
            <w:r>
              <w:rPr>
                <w:rFonts w:hint="default" w:ascii="仿宋" w:hAnsi="仿宋" w:eastAsia="仿宋" w:cs="仿宋"/>
                <w:b w:val="0"/>
                <w:bCs w:val="0"/>
                <w:color w:val="auto"/>
                <w:sz w:val="28"/>
                <w:szCs w:val="28"/>
                <w:highlight w:val="none"/>
                <w:lang w:val="en-US" w:eastAsia="zh-CN"/>
              </w:rPr>
              <w:t>东莞市常平镇中心小学食堂食材采购项目采购包1（</w:t>
            </w:r>
            <w:r>
              <w:rPr>
                <w:rFonts w:hint="eastAsia" w:ascii="仿宋" w:hAnsi="仿宋" w:eastAsia="仿宋" w:cs="仿宋"/>
                <w:b w:val="0"/>
                <w:bCs w:val="0"/>
                <w:color w:val="auto"/>
                <w:sz w:val="28"/>
                <w:szCs w:val="28"/>
                <w:highlight w:val="none"/>
                <w:lang w:val="en-US" w:eastAsia="zh-CN"/>
              </w:rPr>
              <w:t>蔬菜、鲜肉及水产类食材配送服务</w:t>
            </w:r>
            <w:r>
              <w:rPr>
                <w:rFonts w:hint="default" w:ascii="仿宋" w:hAnsi="仿宋" w:eastAsia="仿宋" w:cs="仿宋"/>
                <w:b w:val="0"/>
                <w:bCs w:val="0"/>
                <w:color w:val="auto"/>
                <w:sz w:val="28"/>
                <w:szCs w:val="28"/>
                <w:highlight w:val="none"/>
                <w:lang w:val="en-US" w:eastAsia="zh-CN"/>
              </w:rPr>
              <w:t>）</w:t>
            </w:r>
            <w:r>
              <w:rPr>
                <w:rFonts w:hint="eastAsia" w:ascii="仿宋" w:hAnsi="仿宋" w:eastAsia="仿宋" w:cs="仿宋"/>
                <w:b w:val="0"/>
                <w:bCs w:val="0"/>
                <w:color w:val="auto"/>
                <w:sz w:val="28"/>
                <w:szCs w:val="28"/>
                <w:highlight w:val="none"/>
                <w:lang w:val="en-US" w:eastAsia="zh-CN"/>
              </w:rPr>
              <w:t>，中标人为采购人供应蔬菜、鲜肉及水产类等生鲜食材（详见附件1：《食材采购清单（采购包1）》），实际供货品种以合同签订时经采购人书面确定的清单为准。中标人供应上述种类的全部，所供应的货品必须安全卫生，量足价平，并提供有完善的售后服务。</w:t>
            </w:r>
          </w:p>
        </w:tc>
      </w:tr>
      <w:tr w14:paraId="4D56DE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0" w:hRule="atLeast"/>
          <w:jc w:val="center"/>
        </w:trPr>
        <w:tc>
          <w:tcPr>
            <w:tcW w:w="453" w:type="pct"/>
            <w:vAlign w:val="center"/>
          </w:tcPr>
          <w:p w14:paraId="5E27AB27">
            <w:pPr>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w:t>
            </w:r>
          </w:p>
        </w:tc>
        <w:tc>
          <w:tcPr>
            <w:tcW w:w="359" w:type="pct"/>
            <w:vAlign w:val="center"/>
          </w:tcPr>
          <w:p w14:paraId="17A12809">
            <w:pPr>
              <w:pStyle w:val="16"/>
              <w:spacing w:line="360" w:lineRule="auto"/>
              <w:jc w:val="center"/>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2</w:t>
            </w:r>
          </w:p>
        </w:tc>
        <w:tc>
          <w:tcPr>
            <w:tcW w:w="4186" w:type="pct"/>
          </w:tcPr>
          <w:p w14:paraId="576BB938">
            <w:pPr>
              <w:spacing w:line="360" w:lineRule="auto"/>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二、订货与配送时间要求（须提供承诺函并加盖投标人公章，承诺函格式自拟）</w:t>
            </w:r>
          </w:p>
          <w:p w14:paraId="10950661">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1、订货说明</w:t>
            </w:r>
          </w:p>
          <w:p w14:paraId="51C6AD72">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default"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采购人</w:t>
            </w:r>
            <w:r>
              <w:rPr>
                <w:rFonts w:hint="default" w:ascii="仿宋" w:hAnsi="仿宋" w:eastAsia="仿宋" w:cs="仿宋"/>
                <w:b/>
                <w:bCs/>
                <w:color w:val="auto"/>
                <w:sz w:val="28"/>
                <w:szCs w:val="28"/>
                <w:highlight w:val="none"/>
                <w:lang w:val="en-US" w:eastAsia="zh-CN"/>
              </w:rPr>
              <w:t>在每周最后两个工作日的18:00</w:t>
            </w:r>
            <w:r>
              <w:rPr>
                <w:rFonts w:hint="eastAsia" w:ascii="仿宋" w:hAnsi="仿宋" w:eastAsia="仿宋" w:cs="仿宋"/>
                <w:b/>
                <w:bCs/>
                <w:color w:val="auto"/>
                <w:sz w:val="28"/>
                <w:szCs w:val="28"/>
                <w:highlight w:val="none"/>
                <w:lang w:val="en-US" w:eastAsia="zh-CN"/>
              </w:rPr>
              <w:t>（</w:t>
            </w:r>
            <w:r>
              <w:rPr>
                <w:rFonts w:hint="default" w:ascii="仿宋" w:hAnsi="仿宋" w:eastAsia="仿宋" w:cs="仿宋"/>
                <w:b/>
                <w:bCs/>
                <w:color w:val="auto"/>
                <w:sz w:val="28"/>
                <w:szCs w:val="28"/>
                <w:highlight w:val="none"/>
                <w:lang w:val="en-US" w:eastAsia="zh-CN"/>
              </w:rPr>
              <w:t>星期</w:t>
            </w:r>
            <w:r>
              <w:rPr>
                <w:rFonts w:hint="eastAsia" w:ascii="仿宋" w:hAnsi="仿宋" w:eastAsia="仿宋" w:cs="仿宋"/>
                <w:b/>
                <w:bCs/>
                <w:color w:val="auto"/>
                <w:sz w:val="28"/>
                <w:szCs w:val="28"/>
                <w:highlight w:val="none"/>
                <w:lang w:val="en-US" w:eastAsia="zh-CN"/>
              </w:rPr>
              <w:t>四</w:t>
            </w:r>
            <w:r>
              <w:rPr>
                <w:rFonts w:hint="default" w:ascii="仿宋" w:hAnsi="仿宋" w:eastAsia="仿宋" w:cs="仿宋"/>
                <w:b/>
                <w:bCs/>
                <w:color w:val="auto"/>
                <w:sz w:val="28"/>
                <w:szCs w:val="28"/>
                <w:highlight w:val="none"/>
                <w:lang w:val="en-US" w:eastAsia="zh-CN"/>
              </w:rPr>
              <w:t>与星期</w:t>
            </w:r>
            <w:r>
              <w:rPr>
                <w:rFonts w:hint="eastAsia" w:ascii="仿宋" w:hAnsi="仿宋" w:eastAsia="仿宋" w:cs="仿宋"/>
                <w:b/>
                <w:bCs/>
                <w:color w:val="auto"/>
                <w:sz w:val="28"/>
                <w:szCs w:val="28"/>
                <w:highlight w:val="none"/>
                <w:lang w:val="en-US" w:eastAsia="zh-CN"/>
              </w:rPr>
              <w:t>五）</w:t>
            </w:r>
            <w:r>
              <w:rPr>
                <w:rFonts w:hint="default" w:ascii="仿宋" w:hAnsi="仿宋" w:eastAsia="仿宋" w:cs="仿宋"/>
                <w:b/>
                <w:bCs/>
                <w:color w:val="auto"/>
                <w:sz w:val="28"/>
                <w:szCs w:val="28"/>
                <w:highlight w:val="none"/>
                <w:lang w:val="en-US" w:eastAsia="zh-CN"/>
              </w:rPr>
              <w:t>之前，发出并确认</w:t>
            </w:r>
            <w:r>
              <w:rPr>
                <w:rFonts w:hint="eastAsia" w:ascii="仿宋" w:hAnsi="仿宋" w:eastAsia="仿宋" w:cs="仿宋"/>
                <w:b/>
                <w:bCs/>
                <w:color w:val="auto"/>
                <w:sz w:val="28"/>
                <w:szCs w:val="28"/>
                <w:highlight w:val="none"/>
                <w:lang w:val="en-US" w:eastAsia="zh-CN"/>
              </w:rPr>
              <w:t>食材</w:t>
            </w:r>
            <w:r>
              <w:rPr>
                <w:rFonts w:hint="default" w:ascii="仿宋" w:hAnsi="仿宋" w:eastAsia="仿宋" w:cs="仿宋"/>
                <w:b/>
                <w:bCs/>
                <w:color w:val="auto"/>
                <w:sz w:val="28"/>
                <w:szCs w:val="28"/>
                <w:highlight w:val="none"/>
                <w:lang w:val="en-US" w:eastAsia="zh-CN"/>
              </w:rPr>
              <w:t>订单，订单内容应说明清楚品名、数量、规格、质量和餐次等要求，中标人须按照</w:t>
            </w:r>
            <w:r>
              <w:rPr>
                <w:rFonts w:hint="eastAsia" w:ascii="仿宋" w:hAnsi="仿宋" w:eastAsia="仿宋" w:cs="仿宋"/>
                <w:b/>
                <w:bCs/>
                <w:color w:val="auto"/>
                <w:sz w:val="28"/>
                <w:szCs w:val="28"/>
                <w:highlight w:val="none"/>
                <w:lang w:val="en-US" w:eastAsia="zh-CN"/>
              </w:rPr>
              <w:t>采购人</w:t>
            </w:r>
            <w:r>
              <w:rPr>
                <w:rFonts w:hint="default" w:ascii="仿宋" w:hAnsi="仿宋" w:eastAsia="仿宋" w:cs="仿宋"/>
                <w:b/>
                <w:bCs/>
                <w:color w:val="auto"/>
                <w:sz w:val="28"/>
                <w:szCs w:val="28"/>
                <w:highlight w:val="none"/>
                <w:lang w:val="en-US" w:eastAsia="zh-CN"/>
              </w:rPr>
              <w:t>订货单要求按时保质保量，送货至</w:t>
            </w:r>
            <w:r>
              <w:rPr>
                <w:rFonts w:hint="eastAsia" w:ascii="仿宋" w:hAnsi="仿宋" w:eastAsia="仿宋" w:cs="仿宋"/>
                <w:b/>
                <w:bCs/>
                <w:color w:val="auto"/>
                <w:sz w:val="28"/>
                <w:szCs w:val="28"/>
                <w:highlight w:val="none"/>
                <w:lang w:val="en-US" w:eastAsia="zh-CN"/>
              </w:rPr>
              <w:t>采购人</w:t>
            </w:r>
            <w:r>
              <w:rPr>
                <w:rFonts w:hint="default" w:ascii="仿宋" w:hAnsi="仿宋" w:eastAsia="仿宋" w:cs="仿宋"/>
                <w:b/>
                <w:bCs/>
                <w:color w:val="auto"/>
                <w:sz w:val="28"/>
                <w:szCs w:val="28"/>
                <w:highlight w:val="none"/>
                <w:lang w:val="en-US" w:eastAsia="zh-CN"/>
              </w:rPr>
              <w:t>指定地点；特殊情况下，</w:t>
            </w:r>
            <w:r>
              <w:rPr>
                <w:rFonts w:hint="eastAsia" w:ascii="仿宋" w:hAnsi="仿宋" w:eastAsia="仿宋" w:cs="仿宋"/>
                <w:b/>
                <w:bCs/>
                <w:color w:val="auto"/>
                <w:sz w:val="28"/>
                <w:szCs w:val="28"/>
                <w:highlight w:val="none"/>
                <w:lang w:val="en-US" w:eastAsia="zh-CN"/>
              </w:rPr>
              <w:t>采购人</w:t>
            </w:r>
            <w:r>
              <w:rPr>
                <w:rFonts w:hint="default" w:ascii="仿宋" w:hAnsi="仿宋" w:eastAsia="仿宋" w:cs="仿宋"/>
                <w:b/>
                <w:bCs/>
                <w:color w:val="auto"/>
                <w:sz w:val="28"/>
                <w:szCs w:val="28"/>
                <w:highlight w:val="none"/>
                <w:lang w:val="en-US" w:eastAsia="zh-CN"/>
              </w:rPr>
              <w:t>需中标人在规定时间内将采购货物送到指定地点，中标人应无条件配合，并能确保准时送到。</w:t>
            </w:r>
          </w:p>
          <w:p w14:paraId="75C58FA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2、配送要求</w:t>
            </w:r>
          </w:p>
          <w:p w14:paraId="03FD9482">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default" w:ascii="仿宋" w:hAnsi="仿宋" w:eastAsia="仿宋" w:cs="仿宋"/>
                <w:b/>
                <w:bCs/>
                <w:color w:val="auto"/>
                <w:sz w:val="28"/>
                <w:szCs w:val="28"/>
                <w:highlight w:val="none"/>
                <w:lang w:val="en-US" w:eastAsia="zh-CN"/>
              </w:rPr>
            </w:pPr>
            <w:r>
              <w:rPr>
                <w:rFonts w:hint="default" w:ascii="仿宋" w:hAnsi="仿宋" w:eastAsia="仿宋" w:cs="仿宋"/>
                <w:b/>
                <w:bCs/>
                <w:color w:val="auto"/>
                <w:sz w:val="28"/>
                <w:szCs w:val="28"/>
                <w:highlight w:val="none"/>
                <w:lang w:val="en-US" w:eastAsia="zh-CN"/>
              </w:rPr>
              <w:t>蔬菜、鲜肉及水产类货品正常情况每天均需送货1次，中标人须于每天早上</w:t>
            </w:r>
            <w:r>
              <w:rPr>
                <w:rFonts w:hint="eastAsia" w:ascii="仿宋" w:hAnsi="仿宋" w:eastAsia="仿宋" w:cs="仿宋"/>
                <w:b/>
                <w:bCs/>
                <w:color w:val="auto"/>
                <w:sz w:val="28"/>
                <w:szCs w:val="28"/>
                <w:highlight w:val="none"/>
                <w:lang w:val="en-US" w:eastAsia="zh-CN"/>
              </w:rPr>
              <w:t>4</w:t>
            </w:r>
            <w:r>
              <w:rPr>
                <w:rFonts w:hint="default" w:ascii="仿宋" w:hAnsi="仿宋" w:eastAsia="仿宋" w:cs="仿宋"/>
                <w:b/>
                <w:bCs/>
                <w:color w:val="auto"/>
                <w:sz w:val="28"/>
                <w:szCs w:val="28"/>
                <w:highlight w:val="none"/>
                <w:lang w:val="en-US" w:eastAsia="zh-CN"/>
              </w:rPr>
              <w:t>：</w:t>
            </w:r>
            <w:r>
              <w:rPr>
                <w:rFonts w:hint="eastAsia" w:ascii="仿宋" w:hAnsi="仿宋" w:eastAsia="仿宋" w:cs="仿宋"/>
                <w:b/>
                <w:bCs/>
                <w:color w:val="auto"/>
                <w:sz w:val="28"/>
                <w:szCs w:val="28"/>
                <w:highlight w:val="none"/>
                <w:lang w:val="en-US" w:eastAsia="zh-CN"/>
              </w:rPr>
              <w:t>5</w:t>
            </w:r>
            <w:r>
              <w:rPr>
                <w:rFonts w:hint="default" w:ascii="仿宋" w:hAnsi="仿宋" w:eastAsia="仿宋" w:cs="仿宋"/>
                <w:b/>
                <w:bCs/>
                <w:color w:val="auto"/>
                <w:sz w:val="28"/>
                <w:szCs w:val="28"/>
                <w:highlight w:val="none"/>
                <w:lang w:val="en-US" w:eastAsia="zh-CN"/>
              </w:rPr>
              <w:t>0前将采购人要求的食材配送至指定地点并经采购人验收合格。</w:t>
            </w:r>
          </w:p>
          <w:p w14:paraId="347D2E30">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default" w:ascii="仿宋" w:hAnsi="仿宋" w:eastAsia="仿宋" w:cs="仿宋"/>
                <w:b/>
                <w:bCs/>
                <w:color w:val="auto"/>
                <w:sz w:val="28"/>
                <w:szCs w:val="28"/>
                <w:highlight w:val="none"/>
                <w:lang w:val="en-US" w:eastAsia="zh-CN"/>
              </w:rPr>
            </w:pPr>
            <w:r>
              <w:rPr>
                <w:rFonts w:hint="default" w:ascii="仿宋" w:hAnsi="仿宋" w:eastAsia="仿宋" w:cs="仿宋"/>
                <w:b/>
                <w:bCs/>
                <w:color w:val="auto"/>
                <w:sz w:val="28"/>
                <w:szCs w:val="28"/>
                <w:highlight w:val="none"/>
                <w:lang w:val="en-US" w:eastAsia="zh-CN"/>
              </w:rPr>
              <w:t>食材运抵指定地点后由中标人负责卸车并搬运至采购人指定地点，搬运食材时经过的过道、电梯等公共区域需保持整洁，若留有污渍需及时清理；服务过程中禁止服务人员在采购人</w:t>
            </w:r>
            <w:r>
              <w:rPr>
                <w:rFonts w:hint="eastAsia" w:ascii="仿宋" w:hAnsi="仿宋" w:eastAsia="仿宋" w:cs="仿宋"/>
                <w:b/>
                <w:bCs/>
                <w:color w:val="auto"/>
                <w:sz w:val="28"/>
                <w:szCs w:val="28"/>
                <w:highlight w:val="none"/>
                <w:lang w:val="en-US" w:eastAsia="zh-CN"/>
              </w:rPr>
              <w:t>学校区域</w:t>
            </w:r>
            <w:r>
              <w:rPr>
                <w:rFonts w:hint="default" w:ascii="仿宋" w:hAnsi="仿宋" w:eastAsia="仿宋" w:cs="仿宋"/>
                <w:b/>
                <w:bCs/>
                <w:color w:val="auto"/>
                <w:sz w:val="28"/>
                <w:szCs w:val="28"/>
                <w:highlight w:val="none"/>
                <w:lang w:val="en-US" w:eastAsia="zh-CN"/>
              </w:rPr>
              <w:t>内吸烟。</w:t>
            </w:r>
          </w:p>
        </w:tc>
      </w:tr>
      <w:tr w14:paraId="33A45D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0" w:hRule="atLeast"/>
          <w:jc w:val="center"/>
        </w:trPr>
        <w:tc>
          <w:tcPr>
            <w:tcW w:w="453" w:type="pct"/>
            <w:vAlign w:val="center"/>
          </w:tcPr>
          <w:p w14:paraId="3F38E7EB">
            <w:pPr>
              <w:spacing w:line="360" w:lineRule="auto"/>
              <w:jc w:val="center"/>
              <w:rPr>
                <w:rFonts w:hint="eastAsia" w:ascii="仿宋" w:hAnsi="仿宋" w:eastAsia="仿宋" w:cs="仿宋"/>
                <w:color w:val="auto"/>
                <w:sz w:val="28"/>
                <w:szCs w:val="28"/>
                <w:highlight w:val="none"/>
              </w:rPr>
            </w:pPr>
          </w:p>
        </w:tc>
        <w:tc>
          <w:tcPr>
            <w:tcW w:w="359" w:type="pct"/>
            <w:vAlign w:val="center"/>
          </w:tcPr>
          <w:p w14:paraId="3BE93DC7">
            <w:pPr>
              <w:pStyle w:val="16"/>
              <w:spacing w:line="360" w:lineRule="auto"/>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w:t>
            </w:r>
          </w:p>
        </w:tc>
        <w:tc>
          <w:tcPr>
            <w:tcW w:w="4186" w:type="pct"/>
          </w:tcPr>
          <w:p w14:paraId="7331C043">
            <w:pPr>
              <w:spacing w:line="360" w:lineRule="auto"/>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三、服务要求</w:t>
            </w:r>
          </w:p>
          <w:p w14:paraId="4F2CF1DE">
            <w:pPr>
              <w:spacing w:line="360" w:lineRule="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1、基本要求</w:t>
            </w:r>
          </w:p>
          <w:p w14:paraId="097797D8">
            <w:pPr>
              <w:spacing w:line="360" w:lineRule="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（1）中标人必须具有完善的相应制度、办法和保障措施；</w:t>
            </w:r>
          </w:p>
          <w:p w14:paraId="0F0AE65B">
            <w:pPr>
              <w:spacing w:line="360" w:lineRule="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（2）中标人严格按政府有关卫生管理规定提供符合国家卫生标准的各类食品、食材，具有政府有关部门的合格证明，各类肉菜、食品，确保无变质变味食物。</w:t>
            </w:r>
          </w:p>
          <w:p w14:paraId="743F9361">
            <w:pPr>
              <w:spacing w:line="360" w:lineRule="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（3）中标人需服从采购人和食品监督部门的监督管理，配合采购人及时更新所提供的符合卫生监督部门的有效证明材料，包括但不限于营业执照、产品合格证等。</w:t>
            </w:r>
          </w:p>
          <w:p w14:paraId="6F65EBA1">
            <w:pPr>
              <w:spacing w:line="360" w:lineRule="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（4）中标人所送的食材及物资引起食用人身体不适、发生食物中毒等问题，经正规食品质量检验部门确定是中标人责任的，由中标人承担全部经济赔偿及法律责任。</w:t>
            </w:r>
          </w:p>
          <w:p w14:paraId="251A7A99">
            <w:pPr>
              <w:spacing w:line="360" w:lineRule="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5）中标人必须遵守国家规定的《中华人民共和国食品安全法》《中华人民共和国农产品质量安全法》等法律和行政法规的规定，提供的货品必须符合国家有关卫生标准，保质、保量、保鲜，严禁配送假冒、变质、过期的农副产品，对于验收不合格的货品，中标人必须无条件包退包换。</w:t>
            </w:r>
          </w:p>
          <w:p w14:paraId="16E10C17">
            <w:pPr>
              <w:spacing w:line="360" w:lineRule="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2、服务要求</w:t>
            </w:r>
          </w:p>
          <w:p w14:paraId="795242A0">
            <w:pPr>
              <w:spacing w:line="360" w:lineRule="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1）本采购包配送食材包括蔬菜、鲜肉及水产类食材。中标人按照采购人提出的物品订货清单，不论数量多少（例如：500克以下），必须保证在规定的时间、地点送货。中标人对采购人提出的临时性服务要求也应按时、按质、按量将货品送到采购人指定地点；中标人所供应的货品必须安全卫生，承担送货途中的一切风险并提供完善的售后服务。</w:t>
            </w:r>
          </w:p>
          <w:p w14:paraId="2A6FD886">
            <w:pPr>
              <w:spacing w:line="360" w:lineRule="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（2）针对采购人临时食材采购需求，中标人须在收到采购人食材配送要求后2小时内将食材按质、按量配送至采购人指定地点。</w:t>
            </w:r>
          </w:p>
          <w:p w14:paraId="62091222">
            <w:pPr>
              <w:spacing w:line="360" w:lineRule="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（3）中标人提供的货品必须符合国家食品卫生法规相关标准，保质、保量，不合格的货品，中标人必须包退包换。</w:t>
            </w:r>
          </w:p>
          <w:p w14:paraId="7669F115">
            <w:pPr>
              <w:spacing w:line="360" w:lineRule="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（4）中标人提供的货品必须出示真实有效的检验合格报告。（5）中标人每次送货应有相应的送货清单，且必须提供合法的进货单据。</w:t>
            </w:r>
          </w:p>
          <w:p w14:paraId="7CFB64A1">
            <w:pPr>
              <w:spacing w:line="360" w:lineRule="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（6）中标人提供的货品导致采购人有任何食物安全事件出现，由中标人承担全部责任及赔偿采购人一切损失，采购人保留法律追究权利。</w:t>
            </w:r>
          </w:p>
          <w:p w14:paraId="2BC3D9BF">
            <w:pPr>
              <w:spacing w:line="360" w:lineRule="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（7）中标人的供货价应包含货品交给采购人之前的一切费用，包括运输费、储存费等，并承担送货途中的一切风险。</w:t>
            </w:r>
          </w:p>
          <w:p w14:paraId="4658A0FD">
            <w:pPr>
              <w:spacing w:line="360" w:lineRule="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（8）中标人进入采购人范围内必须遵守采购人有关规定，不得影响采购人的正常工作，由于中标人的过失造成采购人直接经济损失则要负全部责任及赔偿采购人一切损失。</w:t>
            </w:r>
          </w:p>
          <w:p w14:paraId="428AF505">
            <w:pPr>
              <w:spacing w:line="360" w:lineRule="auto"/>
              <w:rPr>
                <w:rFonts w:hint="eastAsia" w:ascii="仿宋" w:hAnsi="仿宋" w:eastAsia="仿宋" w:cs="仿宋"/>
                <w:color w:val="auto"/>
                <w:sz w:val="28"/>
                <w:szCs w:val="28"/>
                <w:highlight w:val="none"/>
              </w:rPr>
            </w:pPr>
            <w:r>
              <w:rPr>
                <w:rFonts w:hint="eastAsia" w:ascii="仿宋" w:hAnsi="仿宋" w:eastAsia="仿宋" w:cs="仿宋"/>
                <w:b w:val="0"/>
                <w:bCs w:val="0"/>
                <w:color w:val="auto"/>
                <w:sz w:val="28"/>
                <w:szCs w:val="28"/>
                <w:highlight w:val="none"/>
                <w:lang w:val="en-US" w:eastAsia="zh-CN"/>
              </w:rPr>
              <w:t>（9）若遇台风、暴雨等意外原因造成的个别品种价格需临时调整，应通知采购人，并征得采购人同意后方可调整，</w:t>
            </w:r>
            <w:r>
              <w:rPr>
                <w:rFonts w:hint="eastAsia" w:ascii="仿宋" w:hAnsi="仿宋" w:eastAsia="仿宋" w:cs="仿宋"/>
                <w:b w:val="0"/>
                <w:bCs w:val="0"/>
                <w:color w:val="FF0000"/>
                <w:sz w:val="28"/>
                <w:szCs w:val="28"/>
                <w:highlight w:val="none"/>
                <w:lang w:val="en-US" w:eastAsia="zh-CN"/>
              </w:rPr>
              <w:t>调整后的价格仅对当次送货订单有效，后续其他送货订单仍应按该周期确认的报价执行。采购人认为无需调整的，中标人仍应按该周期确认的报价送货结算。</w:t>
            </w:r>
          </w:p>
        </w:tc>
      </w:tr>
      <w:tr w14:paraId="294D51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0" w:hRule="atLeast"/>
          <w:jc w:val="center"/>
        </w:trPr>
        <w:tc>
          <w:tcPr>
            <w:tcW w:w="453" w:type="pct"/>
            <w:vAlign w:val="center"/>
          </w:tcPr>
          <w:p w14:paraId="6CF074B8">
            <w:pPr>
              <w:spacing w:line="360" w:lineRule="auto"/>
              <w:jc w:val="center"/>
              <w:rPr>
                <w:rFonts w:hint="eastAsia" w:ascii="仿宋" w:hAnsi="仿宋" w:eastAsia="仿宋" w:cs="仿宋"/>
                <w:color w:val="auto"/>
                <w:sz w:val="28"/>
                <w:szCs w:val="28"/>
                <w:highlight w:val="none"/>
              </w:rPr>
            </w:pPr>
          </w:p>
        </w:tc>
        <w:tc>
          <w:tcPr>
            <w:tcW w:w="359" w:type="pct"/>
            <w:vAlign w:val="center"/>
          </w:tcPr>
          <w:p w14:paraId="3568B686">
            <w:pPr>
              <w:pStyle w:val="16"/>
              <w:spacing w:line="360" w:lineRule="auto"/>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w:t>
            </w:r>
          </w:p>
        </w:tc>
        <w:tc>
          <w:tcPr>
            <w:tcW w:w="4186" w:type="pct"/>
          </w:tcPr>
          <w:p w14:paraId="60244D87">
            <w:pPr>
              <w:spacing w:line="360" w:lineRule="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lang w:eastAsia="zh-CN"/>
              </w:rPr>
              <w:t>四</w:t>
            </w:r>
            <w:r>
              <w:rPr>
                <w:rFonts w:hint="eastAsia" w:ascii="仿宋" w:hAnsi="仿宋" w:eastAsia="仿宋" w:cs="仿宋"/>
                <w:b/>
                <w:bCs/>
                <w:color w:val="auto"/>
                <w:sz w:val="28"/>
                <w:szCs w:val="28"/>
                <w:highlight w:val="none"/>
              </w:rPr>
              <w:t>、验收标准</w:t>
            </w:r>
          </w:p>
          <w:p w14:paraId="7EF3A86B">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中标人应充分理解并认真遵循本招标文件的要求，所提供的货物必须满足招标文件要求。保证供应的货品均为正规生产的新鲜、检验合格、无毒、无辐射、无侵权货品，符合国家有关卫生、质量、包装和保质标准，有使用有效期的货品，其剩余有效期不得少于标注有效期的</w:t>
            </w:r>
            <w:r>
              <w:rPr>
                <w:rFonts w:hint="eastAsia" w:ascii="仿宋" w:hAnsi="仿宋" w:eastAsia="仿宋" w:cs="仿宋"/>
                <w:color w:val="auto"/>
                <w:sz w:val="28"/>
                <w:szCs w:val="28"/>
                <w:highlight w:val="none"/>
                <w:lang w:val="en-US" w:eastAsia="zh-CN"/>
              </w:rPr>
              <w:t>8</w:t>
            </w:r>
            <w:r>
              <w:rPr>
                <w:rFonts w:hint="eastAsia" w:ascii="仿宋" w:hAnsi="仿宋" w:eastAsia="仿宋" w:cs="仿宋"/>
                <w:color w:val="auto"/>
                <w:sz w:val="28"/>
                <w:szCs w:val="28"/>
                <w:highlight w:val="none"/>
              </w:rPr>
              <w:t>0%。中标人保证所提供的</w:t>
            </w:r>
            <w:r>
              <w:rPr>
                <w:rFonts w:hint="eastAsia" w:ascii="仿宋" w:hAnsi="仿宋" w:eastAsia="仿宋" w:cs="仿宋"/>
                <w:color w:val="auto"/>
                <w:sz w:val="28"/>
                <w:szCs w:val="28"/>
                <w:highlight w:val="none"/>
                <w:lang w:val="en-US" w:eastAsia="zh-CN"/>
              </w:rPr>
              <w:t>蔬菜类</w:t>
            </w:r>
            <w:r>
              <w:rPr>
                <w:rFonts w:hint="eastAsia" w:ascii="仿宋" w:hAnsi="仿宋" w:eastAsia="仿宋" w:cs="仿宋"/>
                <w:color w:val="auto"/>
                <w:sz w:val="28"/>
                <w:szCs w:val="28"/>
                <w:highlight w:val="none"/>
              </w:rPr>
              <w:t>和</w:t>
            </w:r>
            <w:r>
              <w:rPr>
                <w:rFonts w:hint="eastAsia" w:ascii="仿宋" w:hAnsi="仿宋" w:eastAsia="仿宋" w:cs="仿宋"/>
                <w:color w:val="auto"/>
                <w:sz w:val="28"/>
                <w:szCs w:val="28"/>
                <w:highlight w:val="none"/>
                <w:lang w:val="en-US" w:eastAsia="zh-CN"/>
              </w:rPr>
              <w:t>水产</w:t>
            </w:r>
            <w:r>
              <w:rPr>
                <w:rFonts w:hint="eastAsia" w:ascii="仿宋" w:hAnsi="仿宋" w:eastAsia="仿宋" w:cs="仿宋"/>
                <w:color w:val="auto"/>
                <w:sz w:val="28"/>
                <w:szCs w:val="28"/>
                <w:highlight w:val="none"/>
              </w:rPr>
              <w:t>类的多样性和季节性，以保证新鲜感。货物有包装的，货物的包装必须完整清洁（无损、无污、无皱），采购人有权拒收包装不整齐、已拆封的货品。货品质量或包装不符合采购人要求的，中标人必须无条件退货或更换。配送货品中涉及肉品、水产类的，必须用专用冷藏、冷冻载具运输，保证运输过程冷链不中断，到达目的地时外包装箱干爽，无软化现象；其中须冷藏运输的货品，保证运输过程环境保持在恒温5℃；须冷冻运输的货品，保证运输过程环境保持在恒温-18℃。</w:t>
            </w:r>
          </w:p>
          <w:p w14:paraId="1C2F72EC">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鲜肉</w:t>
            </w:r>
            <w:r>
              <w:rPr>
                <w:rFonts w:hint="eastAsia" w:ascii="仿宋" w:hAnsi="仿宋" w:eastAsia="仿宋" w:cs="仿宋"/>
                <w:color w:val="auto"/>
                <w:sz w:val="28"/>
                <w:szCs w:val="28"/>
                <w:highlight w:val="none"/>
              </w:rPr>
              <w:t>类、水产类供应货品质量要求</w:t>
            </w:r>
          </w:p>
          <w:p w14:paraId="30AF3473">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（1）猪肉类</w:t>
            </w:r>
          </w:p>
          <w:p w14:paraId="1BA00333">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1）具有当天卫生监督部门发放的“动物检疫合格证明”，肉体印有检疫章。</w:t>
            </w:r>
          </w:p>
          <w:p w14:paraId="3F5BD2DF">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2）表皮干爽、肌体结实、肉质紧密、肉色淡红新鲜，肥肉洁白而细腻。</w:t>
            </w:r>
          </w:p>
          <w:p w14:paraId="21A2A521">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3）外观检测无异味、无寄生虫、无粘液、无渗出液体、指压反弹迅速、具有猪肉自然气味。</w:t>
            </w:r>
          </w:p>
          <w:p w14:paraId="40CFD56B">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4）运输设备具备恒温保鲜（5℃），存放容器保持清洁卫生，包装合理且材料无污染。</w:t>
            </w:r>
          </w:p>
          <w:p w14:paraId="49FB0D4F">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（2）牛肉类</w:t>
            </w:r>
          </w:p>
          <w:p w14:paraId="04AA43C6">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1）具有当天卫生监督部门发放的“动物检疫合格证明”，外观检测新鲜肉质柔软有光泽、无腐臭变质异味、无寄生虫、无粘液、无渗出液体。</w:t>
            </w:r>
          </w:p>
          <w:p w14:paraId="0C89ABEB">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2）牛肉色泽棕红，脂肪呈淡黄色或深黄色，肉质紧密，弹性足。</w:t>
            </w:r>
          </w:p>
          <w:p w14:paraId="1C939C36">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3）运输设备具备恒温保鲜（5℃），存放容器保持清洁卫生，包装合理且材料无污染。</w:t>
            </w:r>
          </w:p>
          <w:p w14:paraId="30418E9B">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（3）羊肉类</w:t>
            </w:r>
          </w:p>
          <w:p w14:paraId="283A1A18">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1）具有当天卫生监督部门发放的“动物检疫合格证明”。</w:t>
            </w:r>
          </w:p>
          <w:p w14:paraId="33E2858D">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2）羊肉色泽暗红，纤维细而软，肌间少脂肪。</w:t>
            </w:r>
          </w:p>
          <w:p w14:paraId="727BF2E8">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3）运输设备具备恒温保鲜（5℃），存放容器保持清洁卫生，包装合理且材料无污染。</w:t>
            </w:r>
          </w:p>
          <w:p w14:paraId="76143D4C">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（4）水产品类</w:t>
            </w:r>
          </w:p>
          <w:p w14:paraId="786426BF">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1）必须鲜活。</w:t>
            </w:r>
          </w:p>
          <w:p w14:paraId="00FEA832">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2）鲜鱼鳞片完整，有光泽无脱落，鳃口紧闭，眼球光亮透明，鱼鳃鲜红，鳍尾完整，没有泥腥味，确保新鲜。</w:t>
            </w:r>
          </w:p>
          <w:p w14:paraId="62774D48">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3）身体饱满结实，无腐烂异味，肉质紧密有弹性，无离骨脱刺现象。</w:t>
            </w:r>
          </w:p>
          <w:p w14:paraId="53758D4C">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4）来源可靠放心，无毒、无害、无污染。</w:t>
            </w:r>
          </w:p>
          <w:p w14:paraId="32779789">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（5）三鸟类</w:t>
            </w:r>
          </w:p>
          <w:p w14:paraId="69AE2223">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1）活禽类：</w:t>
            </w:r>
          </w:p>
          <w:p w14:paraId="403D0913">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①具有当天卫生监督部门发放的“动物检疫合格证明”。</w:t>
            </w:r>
          </w:p>
          <w:p w14:paraId="1F705D1A">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②必须鲜活，羽毛完整、有光泽无不正常脱落。</w:t>
            </w:r>
          </w:p>
          <w:p w14:paraId="1D940E53">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③身体饱满结实，来源可靠放心，无毒、无害、无污染。</w:t>
            </w:r>
          </w:p>
          <w:p w14:paraId="183C555E">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2）屠杀好的：</w:t>
            </w:r>
          </w:p>
          <w:p w14:paraId="17B3F5F4">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①具有当天卫生监督部门发放的“动物检疫合格证明”。</w:t>
            </w:r>
          </w:p>
          <w:p w14:paraId="3199A959">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②肉质新鲜柔软有光泽，质地紧密，脂肪呈白色或淡黄色，肉质细腻、无腐烂异味，肉体结实，内脏清掏干净，肉质弹性足无明显渗出液体，总体无粘液。</w:t>
            </w:r>
          </w:p>
          <w:p w14:paraId="40FE762B">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③运输设备具备恒温保鲜（5℃），存放容器保持清洁卫生，包装合理，来源可靠放心，无毒、无害、无污染。</w:t>
            </w:r>
          </w:p>
          <w:p w14:paraId="3F65ED94">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2</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蔬菜</w:t>
            </w:r>
            <w:r>
              <w:rPr>
                <w:rFonts w:hint="eastAsia" w:ascii="仿宋" w:hAnsi="仿宋" w:eastAsia="仿宋" w:cs="仿宋"/>
                <w:color w:val="auto"/>
                <w:sz w:val="28"/>
                <w:szCs w:val="28"/>
                <w:highlight w:val="none"/>
              </w:rPr>
              <w:t>类</w:t>
            </w:r>
          </w:p>
          <w:p w14:paraId="47F79EB4">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中标人提供的蔬菜必须保证每日新鲜，品种、质量应符合采购人要求，产品符合食品卫生安全法要求并出具有效的《农产品检验报告》。应保持较好的色泽和新鲜度，不得有黄叶，不得腐烂或有异常味道，不存在泥沙和异物，利用率不得低于95%。</w:t>
            </w:r>
          </w:p>
          <w:p w14:paraId="374A59D2">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（2）提供的水果符合国家食品质量管理条例，果面干净新鲜，果柄鲜绿，果型完整且形好，个体均匀，结实，有光泽，表面光滑，无疤痕，不干皱，不变色，无压伤，无阴伤，无病虫害。</w:t>
            </w:r>
          </w:p>
          <w:p w14:paraId="30D17FF1">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（3）中标人不得供应转基因产品。</w:t>
            </w:r>
          </w:p>
        </w:tc>
      </w:tr>
      <w:tr w14:paraId="50CACE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0" w:hRule="atLeast"/>
          <w:jc w:val="center"/>
        </w:trPr>
        <w:tc>
          <w:tcPr>
            <w:tcW w:w="453" w:type="pct"/>
            <w:vAlign w:val="center"/>
          </w:tcPr>
          <w:p w14:paraId="03044227">
            <w:pPr>
              <w:spacing w:line="360" w:lineRule="auto"/>
              <w:jc w:val="center"/>
              <w:rPr>
                <w:rFonts w:hint="eastAsia" w:ascii="仿宋" w:hAnsi="仿宋" w:eastAsia="仿宋" w:cs="仿宋"/>
                <w:color w:val="auto"/>
                <w:sz w:val="28"/>
                <w:szCs w:val="28"/>
                <w:highlight w:val="none"/>
              </w:rPr>
            </w:pPr>
          </w:p>
        </w:tc>
        <w:tc>
          <w:tcPr>
            <w:tcW w:w="359" w:type="pct"/>
            <w:vAlign w:val="center"/>
          </w:tcPr>
          <w:p w14:paraId="7D77FCBB">
            <w:pPr>
              <w:pStyle w:val="16"/>
              <w:spacing w:line="360" w:lineRule="auto"/>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w:t>
            </w:r>
          </w:p>
        </w:tc>
        <w:tc>
          <w:tcPr>
            <w:tcW w:w="4186" w:type="pct"/>
          </w:tcPr>
          <w:p w14:paraId="0860C78F">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五</w:t>
            </w:r>
            <w:r>
              <w:rPr>
                <w:rFonts w:hint="eastAsia" w:ascii="仿宋" w:hAnsi="仿宋" w:eastAsia="仿宋" w:cs="仿宋"/>
                <w:color w:val="auto"/>
                <w:sz w:val="28"/>
                <w:szCs w:val="28"/>
                <w:highlight w:val="none"/>
              </w:rPr>
              <w:t>、供货要求</w:t>
            </w:r>
          </w:p>
          <w:p w14:paraId="55C1A6E7">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1、中标人所提供产品质量必须要符合行业标准要求，不得有掺假、变质、变味、过期等现象出现，严禁伪劣、假冒、无证不合格物品进入仓库。</w:t>
            </w:r>
          </w:p>
          <w:p w14:paraId="5845C5B2">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2、中标人在供应过程中，如果发生出现质量问题或造成食物中毒，如变质等情况，经国家相关卫生检验部门查实后确属中标人责任，中标人应依法承担相关责任。</w:t>
            </w:r>
          </w:p>
          <w:p w14:paraId="0B62CD65">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3、必须有检验合格证明，严禁存在有害、有毒、腐烂变质、酸败、霉变、生虫、污垢不洁、混有异物或其他感官性状异常的食品。</w:t>
            </w:r>
          </w:p>
          <w:p w14:paraId="59906521">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rPr>
              <w:t>、运输要求：运输工具应清洁卫生无污染：食品运输必须采用符合卫生标准的外包装和运载工具，并且要保持清洁和定期消毒。运输车厢的内仓，包括地面、墙面和顶，应使用抗腐蚀、防潮，易清洁消毒的材料。车厢内无不良气味、异味；运输途中严防日晒、雨淋，注意通风散热；食品堆放科学合理，避免造成食品的交叉污染；如对温度有要求的食品应确定食品的温度，记录送货车辆温度，并记录存档。</w:t>
            </w:r>
          </w:p>
          <w:p w14:paraId="664B8F10">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鲜肉类、</w:t>
            </w:r>
            <w:r>
              <w:rPr>
                <w:rFonts w:hint="eastAsia" w:ascii="仿宋" w:hAnsi="仿宋" w:eastAsia="仿宋" w:cs="仿宋"/>
                <w:color w:val="auto"/>
                <w:sz w:val="28"/>
                <w:szCs w:val="28"/>
                <w:highlight w:val="none"/>
              </w:rPr>
              <w:t>水产</w:t>
            </w:r>
            <w:r>
              <w:rPr>
                <w:rFonts w:hint="eastAsia" w:ascii="仿宋" w:hAnsi="仿宋" w:eastAsia="仿宋" w:cs="仿宋"/>
                <w:color w:val="auto"/>
                <w:sz w:val="28"/>
                <w:szCs w:val="28"/>
                <w:highlight w:val="none"/>
                <w:lang w:val="en-US" w:eastAsia="zh-CN"/>
              </w:rPr>
              <w:t>类</w:t>
            </w:r>
            <w:r>
              <w:rPr>
                <w:rFonts w:hint="eastAsia" w:ascii="仿宋" w:hAnsi="仿宋" w:eastAsia="仿宋" w:cs="仿宋"/>
                <w:color w:val="auto"/>
                <w:sz w:val="28"/>
                <w:szCs w:val="28"/>
                <w:highlight w:val="none"/>
              </w:rPr>
              <w:t>必须用专用冷藏、冷冻载具运输，保证运输过程冷链不中断，到达目的地时外包装箱干爽，无软化现象。</w:t>
            </w:r>
          </w:p>
          <w:p w14:paraId="3F4DE17F">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6</w:t>
            </w:r>
            <w:r>
              <w:rPr>
                <w:rFonts w:hint="eastAsia" w:ascii="仿宋" w:hAnsi="仿宋" w:eastAsia="仿宋" w:cs="仿宋"/>
                <w:color w:val="auto"/>
                <w:sz w:val="28"/>
                <w:szCs w:val="28"/>
                <w:highlight w:val="none"/>
              </w:rPr>
              <w:t>、蔬菜、水果</w:t>
            </w:r>
            <w:r>
              <w:rPr>
                <w:rFonts w:hint="eastAsia" w:ascii="仿宋" w:hAnsi="仿宋" w:eastAsia="仿宋" w:cs="仿宋"/>
                <w:color w:val="auto"/>
                <w:sz w:val="28"/>
                <w:szCs w:val="28"/>
                <w:highlight w:val="none"/>
                <w:lang w:val="en-US" w:eastAsia="zh-CN"/>
              </w:rPr>
              <w:t>等货品</w:t>
            </w:r>
            <w:r>
              <w:rPr>
                <w:rFonts w:hint="eastAsia" w:ascii="仿宋" w:hAnsi="仿宋" w:eastAsia="仿宋" w:cs="仿宋"/>
                <w:color w:val="auto"/>
                <w:sz w:val="28"/>
                <w:szCs w:val="28"/>
                <w:highlight w:val="none"/>
              </w:rPr>
              <w:t>应小心轻卸，严防机械损伤。</w:t>
            </w:r>
          </w:p>
          <w:p w14:paraId="43B1A29E">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7</w:t>
            </w:r>
            <w:r>
              <w:rPr>
                <w:rFonts w:hint="eastAsia" w:ascii="仿宋" w:hAnsi="仿宋" w:eastAsia="仿宋" w:cs="仿宋"/>
                <w:color w:val="auto"/>
                <w:sz w:val="28"/>
                <w:szCs w:val="28"/>
                <w:highlight w:val="none"/>
              </w:rPr>
              <w:t>、中标人必须严格按照投标描述的产品质量供货</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并配合采购人完成相关食品安全检查要求。</w:t>
            </w:r>
          </w:p>
          <w:p w14:paraId="1B2A4238">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8</w:t>
            </w:r>
            <w:r>
              <w:rPr>
                <w:rFonts w:hint="eastAsia" w:ascii="仿宋" w:hAnsi="仿宋" w:eastAsia="仿宋" w:cs="仿宋"/>
                <w:color w:val="auto"/>
                <w:sz w:val="28"/>
                <w:szCs w:val="28"/>
                <w:highlight w:val="none"/>
              </w:rPr>
              <w:t>、中标人所供食材规格符合采购人提交的每次采购订单中明确的具体需求。</w:t>
            </w:r>
          </w:p>
          <w:p w14:paraId="1D1AAB5D">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9</w:t>
            </w:r>
            <w:r>
              <w:rPr>
                <w:rFonts w:hint="eastAsia" w:ascii="仿宋" w:hAnsi="仿宋" w:eastAsia="仿宋" w:cs="仿宋"/>
                <w:color w:val="auto"/>
                <w:sz w:val="28"/>
                <w:szCs w:val="28"/>
                <w:highlight w:val="none"/>
              </w:rPr>
              <w:t>、中标人食材必须符合卫生要求，不得出现腐烂、变质、油脂酸败、霉变、生虫、污秽不洁、混有异物或者其他感官性状异常。在验收过程中，如发现食品质量问题，采购人有权拒收，并及时通知中标人，经双方确认后，中标人应立即向采购人重新配送。</w:t>
            </w:r>
          </w:p>
          <w:p w14:paraId="0B00992C">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10</w:t>
            </w:r>
            <w:r>
              <w:rPr>
                <w:rFonts w:hint="eastAsia" w:ascii="仿宋" w:hAnsi="仿宋" w:eastAsia="仿宋" w:cs="仿宋"/>
                <w:color w:val="auto"/>
                <w:sz w:val="28"/>
                <w:szCs w:val="28"/>
                <w:highlight w:val="none"/>
              </w:rPr>
              <w:t>、发现食品安全质量问题的处理：对危及人身安全的食品质量问题采取零容忍措施，如产品中发现重金属残留超标、腐败变质等一经发现，当日所送同批次产品全部退货。验收时凡属于规格、质量等问题的货品，中标人必须按照采购人要求包退包换，退补货品需在60分钟内补给，不能影响采购人正常供餐。若在加工食用前发现部分产品质量问题，中标人须将问题产品退货处理。</w:t>
            </w:r>
          </w:p>
          <w:p w14:paraId="670F3122">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11</w:t>
            </w:r>
            <w:r>
              <w:rPr>
                <w:rFonts w:hint="eastAsia" w:ascii="仿宋" w:hAnsi="仿宋" w:eastAsia="仿宋" w:cs="仿宋"/>
                <w:color w:val="auto"/>
                <w:sz w:val="28"/>
                <w:szCs w:val="28"/>
                <w:highlight w:val="none"/>
              </w:rPr>
              <w:t>、如中标人所配送食材造成人员食物中毒安全事故，经卫生检疫部门鉴定后证实属中标人责任，中标人承担全部法律责任及民事赔偿，以及依法承担由此产生的费用。</w:t>
            </w:r>
          </w:p>
          <w:p w14:paraId="04B29756">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12</w:t>
            </w:r>
            <w:r>
              <w:rPr>
                <w:rFonts w:hint="eastAsia" w:ascii="仿宋" w:hAnsi="仿宋" w:eastAsia="仿宋" w:cs="仿宋"/>
                <w:color w:val="auto"/>
                <w:sz w:val="28"/>
                <w:szCs w:val="28"/>
                <w:highlight w:val="none"/>
              </w:rPr>
              <w:t>、中标人需根据以上货品质量安全问题提供的完善的售后服务承诺，包括但不限于专线售后服务管理方案，专人服务，专人跟踪、服务时间安排、其它服务承诺等。</w:t>
            </w:r>
          </w:p>
          <w:p w14:paraId="0806596B">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13</w:t>
            </w:r>
            <w:r>
              <w:rPr>
                <w:rFonts w:hint="eastAsia" w:ascii="仿宋" w:hAnsi="仿宋" w:eastAsia="仿宋" w:cs="仿宋"/>
                <w:color w:val="auto"/>
                <w:sz w:val="28"/>
                <w:szCs w:val="28"/>
                <w:highlight w:val="none"/>
              </w:rPr>
              <w:t>、中标人必须按照采购人要求的时间、数量品种、品质要求及协定的价格准时送货，经验收合格后签字确认，不能以任何理由推托，一旦影响到采购人饭堂的正常运转，中标人应承担相应的经济赔偿。</w:t>
            </w:r>
          </w:p>
          <w:p w14:paraId="662F61AE">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14</w:t>
            </w:r>
            <w:r>
              <w:rPr>
                <w:rFonts w:hint="eastAsia" w:ascii="仿宋" w:hAnsi="仿宋" w:eastAsia="仿宋" w:cs="仿宋"/>
                <w:color w:val="auto"/>
                <w:sz w:val="28"/>
                <w:szCs w:val="28"/>
                <w:highlight w:val="none"/>
              </w:rPr>
              <w:t>、中标人必须在双方约定的时间内将货物送到采购人指定的地点，运输费用由中标人承担，如出现不合格、损坏的情况，由中标人负责及时调换。除发生客观不可抗力的情况外，中标人不得推迟送货。如确需延迟送货的，中标人应在得知情况的同时告知采购人并征得采购人书面同意，由于中标人延迟造成采购人利益受损的，采购人有权要求中标人赔偿。</w:t>
            </w:r>
          </w:p>
          <w:p w14:paraId="22041BCE">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15</w:t>
            </w:r>
            <w:r>
              <w:rPr>
                <w:rFonts w:hint="eastAsia" w:ascii="仿宋" w:hAnsi="仿宋" w:eastAsia="仿宋" w:cs="仿宋"/>
                <w:color w:val="auto"/>
                <w:sz w:val="28"/>
                <w:szCs w:val="28"/>
                <w:highlight w:val="none"/>
              </w:rPr>
              <w:t>、中标人负责货品配送前的仓储，采购人不提供仓库。在采购人签收之前，货物的所有权和风险属于中标人，货物发生遗失、损坏由中标人负责。</w:t>
            </w:r>
          </w:p>
          <w:p w14:paraId="33D430D9">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16</w:t>
            </w:r>
            <w:r>
              <w:rPr>
                <w:rFonts w:hint="eastAsia" w:ascii="仿宋" w:hAnsi="仿宋" w:eastAsia="仿宋" w:cs="仿宋"/>
                <w:color w:val="auto"/>
                <w:sz w:val="28"/>
                <w:szCs w:val="28"/>
                <w:highlight w:val="none"/>
              </w:rPr>
              <w:t>、中标人需要严格按照采购人的订单配送货品，不得随意增减数量或改变品种。如因市场流通问题确实需要变更供货内容的，中标人应在得知情况的同时征得采购人同意后方可变更，否则，采购人有权拒收，由此产生的一切损失和费用由中标人承担。</w:t>
            </w:r>
          </w:p>
          <w:p w14:paraId="057640B4">
            <w:pPr>
              <w:spacing w:line="360" w:lineRule="auto"/>
              <w:rPr>
                <w:rFonts w:hint="eastAsia" w:ascii="仿宋" w:hAnsi="仿宋" w:eastAsia="仿宋" w:cs="仿宋"/>
                <w:color w:val="FF0000"/>
                <w:sz w:val="28"/>
                <w:szCs w:val="28"/>
                <w:highlight w:val="none"/>
              </w:rPr>
            </w:pPr>
            <w:r>
              <w:rPr>
                <w:rFonts w:hint="eastAsia" w:ascii="仿宋" w:hAnsi="仿宋" w:eastAsia="仿宋" w:cs="仿宋"/>
                <w:color w:val="FF0000"/>
                <w:sz w:val="28"/>
                <w:szCs w:val="28"/>
                <w:highlight w:val="none"/>
                <w:lang w:val="en-US" w:eastAsia="zh-CN"/>
              </w:rPr>
              <w:t>17</w:t>
            </w:r>
            <w:r>
              <w:rPr>
                <w:rFonts w:hint="eastAsia" w:ascii="仿宋" w:hAnsi="仿宋" w:eastAsia="仿宋" w:cs="仿宋"/>
                <w:color w:val="FF0000"/>
                <w:sz w:val="28"/>
                <w:szCs w:val="28"/>
                <w:highlight w:val="none"/>
              </w:rPr>
              <w:t>、中标人不能按核定的供货价交付的某些货品、不能提供与其承诺相符的服务或中标人存在违反合同的行为，并且在采购人要求的期限内不予纠正的，将取消其配送资格并终止合同，中标人不得有异议，在采购人确定新食材供货商前，协助提供一家合资质的食材供货商作临时补给，并确保食材按采购人要求及时供应到位。此项下违约行为包括但不限于下列各项：</w:t>
            </w:r>
          </w:p>
          <w:p w14:paraId="72885503">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（1）中标人在收到采购人订货要求后，在承诺的供货时间内不能供货的。</w:t>
            </w:r>
          </w:p>
          <w:p w14:paraId="78E7C894">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（2）中标人未能提供承诺的服务的。</w:t>
            </w:r>
          </w:p>
          <w:p w14:paraId="2FBD52ED">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（3）每月超过三次因数量或质量问题导致退换货品的。</w:t>
            </w:r>
          </w:p>
          <w:p w14:paraId="5C09B300">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（4）中标人不能在约定时间内提供合法票据进行结算的。</w:t>
            </w:r>
          </w:p>
          <w:p w14:paraId="43304601">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（5）中标人送货专员在采购人单位活动但不遵守采购人单位各项规章制度或做出有损采购人形象和利益的事情的。</w:t>
            </w:r>
          </w:p>
          <w:p w14:paraId="1BDA10FC">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（6）中标人泄露采购人的信息的，泄密行为造成采购人损失的，中标人将承担由此产生的一切损失和法律责任。</w:t>
            </w:r>
          </w:p>
          <w:p w14:paraId="078DA18B">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7）因配送原材料问题，发生师生食物中毒等食材安全责任事故；或在原材料配送过程中，经核实存在故意掺杂作假，销售劣质、有害过期或无证食品等违规行为的；或虽然基于过失发生上述情况，但经采购人规劝，或经教育主管部门、市场监督管理部门要求整改仍再次发生的的。</w:t>
            </w:r>
          </w:p>
          <w:p w14:paraId="2007CC49">
            <w:pPr>
              <w:spacing w:line="360" w:lineRule="auto"/>
              <w:ind w:firstLine="560" w:firstLineChars="200"/>
              <w:rPr>
                <w:rFonts w:hint="eastAsia" w:ascii="仿宋" w:hAnsi="仿宋" w:eastAsia="仿宋" w:cs="仿宋"/>
                <w:color w:val="FF0000"/>
                <w:sz w:val="28"/>
                <w:szCs w:val="28"/>
                <w:highlight w:val="none"/>
              </w:rPr>
            </w:pPr>
            <w:r>
              <w:rPr>
                <w:rFonts w:hint="eastAsia" w:ascii="仿宋" w:hAnsi="仿宋" w:eastAsia="仿宋" w:cs="仿宋"/>
                <w:color w:val="FF0000"/>
                <w:sz w:val="28"/>
                <w:szCs w:val="28"/>
                <w:highlight w:val="none"/>
              </w:rPr>
              <w:t>（8）在经营过程中，存在转包、分包和挂靠经营行为的。</w:t>
            </w:r>
          </w:p>
          <w:p w14:paraId="627A672A">
            <w:pPr>
              <w:spacing w:line="360" w:lineRule="auto"/>
              <w:ind w:firstLine="560" w:firstLineChars="200"/>
              <w:rPr>
                <w:rFonts w:hint="eastAsia" w:ascii="仿宋" w:hAnsi="仿宋" w:eastAsia="仿宋" w:cs="仿宋"/>
                <w:color w:val="FF0000"/>
                <w:sz w:val="28"/>
                <w:szCs w:val="28"/>
                <w:highlight w:val="none"/>
              </w:rPr>
            </w:pPr>
            <w:r>
              <w:rPr>
                <w:rFonts w:hint="eastAsia" w:ascii="仿宋" w:hAnsi="仿宋" w:eastAsia="仿宋" w:cs="仿宋"/>
                <w:color w:val="FF0000"/>
                <w:sz w:val="28"/>
                <w:szCs w:val="28"/>
                <w:highlight w:val="none"/>
              </w:rPr>
              <w:t>（9）中标人经营情况发生变化已不符合准入条件而无法在采购人给予的限期内（法律法规对该情形的期限另有强制性规定的，从其规定）重新符合准入条件。</w:t>
            </w:r>
          </w:p>
          <w:p w14:paraId="648C1347">
            <w:pPr>
              <w:spacing w:line="360" w:lineRule="auto"/>
              <w:ind w:firstLine="560" w:firstLineChars="200"/>
              <w:rPr>
                <w:rFonts w:hint="eastAsia" w:ascii="仿宋" w:hAnsi="仿宋" w:eastAsia="仿宋" w:cs="仿宋"/>
                <w:color w:val="FF0000"/>
                <w:sz w:val="28"/>
                <w:szCs w:val="28"/>
                <w:highlight w:val="none"/>
              </w:rPr>
            </w:pPr>
            <w:r>
              <w:rPr>
                <w:rFonts w:hint="eastAsia" w:ascii="仿宋" w:hAnsi="仿宋" w:eastAsia="仿宋" w:cs="仿宋"/>
                <w:color w:val="FF0000"/>
                <w:sz w:val="28"/>
                <w:szCs w:val="28"/>
                <w:highlight w:val="none"/>
              </w:rPr>
              <w:t>（10）若中标人无法按采购人要求供货时，采购人有权向市场其他机构开展采购，采购人不负违约责任；中标人无权对采购人的行为提出争议。采购人基于上述情况向其他主体开展采购的，不影响采购人解除权行使。</w:t>
            </w:r>
          </w:p>
          <w:p w14:paraId="01807ACD">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FF0000"/>
                <w:sz w:val="28"/>
                <w:szCs w:val="28"/>
                <w:highlight w:val="none"/>
              </w:rPr>
              <w:t>（11）中标人必须按要求完成食材配送，若有违反造成采购人停膳的，每停膳一天，中标人向采购人支付违约金人民币伍万元，并补偿由此造成的采购人损失。</w:t>
            </w:r>
          </w:p>
        </w:tc>
      </w:tr>
      <w:tr w14:paraId="47ECDA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0" w:hRule="atLeast"/>
          <w:jc w:val="center"/>
        </w:trPr>
        <w:tc>
          <w:tcPr>
            <w:tcW w:w="453" w:type="pct"/>
            <w:vAlign w:val="center"/>
          </w:tcPr>
          <w:p w14:paraId="543FA9EF">
            <w:pPr>
              <w:spacing w:line="360" w:lineRule="auto"/>
              <w:jc w:val="center"/>
              <w:rPr>
                <w:rFonts w:hint="eastAsia" w:ascii="仿宋" w:hAnsi="仿宋" w:eastAsia="仿宋" w:cs="仿宋"/>
                <w:color w:val="auto"/>
                <w:sz w:val="28"/>
                <w:szCs w:val="28"/>
                <w:highlight w:val="none"/>
              </w:rPr>
            </w:pPr>
          </w:p>
        </w:tc>
        <w:tc>
          <w:tcPr>
            <w:tcW w:w="359" w:type="pct"/>
            <w:vAlign w:val="center"/>
          </w:tcPr>
          <w:p w14:paraId="777FE0C6">
            <w:pPr>
              <w:pStyle w:val="16"/>
              <w:spacing w:line="360" w:lineRule="auto"/>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w:t>
            </w:r>
          </w:p>
        </w:tc>
        <w:tc>
          <w:tcPr>
            <w:tcW w:w="4186" w:type="pct"/>
          </w:tcPr>
          <w:p w14:paraId="098809E7">
            <w:pPr>
              <w:spacing w:line="360" w:lineRule="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lang w:val="en-US" w:eastAsia="zh-CN"/>
              </w:rPr>
              <w:t>六</w:t>
            </w:r>
            <w:r>
              <w:rPr>
                <w:rFonts w:hint="eastAsia" w:ascii="仿宋" w:hAnsi="仿宋" w:eastAsia="仿宋" w:cs="仿宋"/>
                <w:b/>
                <w:bCs/>
                <w:color w:val="auto"/>
                <w:sz w:val="28"/>
                <w:szCs w:val="28"/>
                <w:highlight w:val="none"/>
              </w:rPr>
              <w:t>、其他要求</w:t>
            </w:r>
          </w:p>
          <w:p w14:paraId="76E85597">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1、中标人不得将中标项目转包或分包给他人，一经发现,采购人有权终止合同，由此产生的一切经济损失由中标人自行承担。</w:t>
            </w:r>
          </w:p>
          <w:p w14:paraId="014E2148">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中标人除不可抗力，不得因其他任何理由延迟送货。采购人如遇特殊情况需推迟送货，应提前通知中标人。因中标人原因延误交货日期的（采购人要求推迟的除外），采购人有权自行采购，并由采购人承担由此产生的一切损失和费用。</w:t>
            </w:r>
          </w:p>
          <w:p w14:paraId="480D895D">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3、中标人必须按采购人每次订购物品的数量、种类进行供货，不得出现短斤缺两，或故意多送、错送，否则中标人需自行承担相关后果。</w:t>
            </w:r>
          </w:p>
          <w:p w14:paraId="2C752031">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4、如遇特殊接待任务或特殊时期工作要求的，中标人需无条件配合采购人的要求，增派人员、第一时间完成采购人交待的任务。</w:t>
            </w:r>
          </w:p>
          <w:p w14:paraId="0CD6BE84">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5、中标人应具有固定的销售服务人员及运输能力，</w:t>
            </w:r>
            <w:r>
              <w:rPr>
                <w:rFonts w:hint="eastAsia" w:ascii="仿宋" w:hAnsi="仿宋" w:eastAsia="仿宋" w:cs="仿宋"/>
                <w:color w:val="auto"/>
                <w:sz w:val="28"/>
                <w:szCs w:val="28"/>
                <w:highlight w:val="none"/>
                <w:lang w:val="en-US" w:eastAsia="zh-CN"/>
              </w:rPr>
              <w:t>中标人服务人员具有食品安全相关专业能力，具有食品安全管理师/员证书，货品</w:t>
            </w:r>
            <w:r>
              <w:rPr>
                <w:rFonts w:hint="eastAsia" w:ascii="仿宋" w:hAnsi="仿宋" w:eastAsia="仿宋" w:cs="仿宋"/>
                <w:color w:val="auto"/>
                <w:sz w:val="28"/>
                <w:szCs w:val="28"/>
                <w:highlight w:val="none"/>
              </w:rPr>
              <w:t>愿意接受相关质检单位的商品质量检测。中标人必须指派相对固定的人员完成货物配送服务，并需将配送人员的详细资料报采购人备案，货物配送人员必须遵纪守法、品行良好，无违法犯罪记录。</w:t>
            </w:r>
          </w:p>
          <w:p w14:paraId="546A285D">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6、中标人应对本项目服务及服务人员制定相应的规章和管理制度，例如：服务标准、泄密处理、仪容仪表规范及人员奖惩制度等。</w:t>
            </w:r>
          </w:p>
          <w:p w14:paraId="15C0D089">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7、投标人针对食材仓储、分拣、配送环节中可能出现的突发情况（如突发停电、台风、暴雨、火灾等导致的仓储、分拣、配送困难或食材短缺；突发车辆故障、交通事故、临时封路等导致的配送困难等情形），这对上述情形应有相应的处置措施；针对食材流通和使用环节可能会出现的质量问题（如仓储、运具不达标致使食材变得不合格等），应有相应的处置措施；针对台风、暴雨等恶劣天气，应有相应的配送保障措施；针对配送人员在配送途中突发车辆故障、交通事故等情况，应有相应的人员替换保障措施。</w:t>
            </w:r>
          </w:p>
          <w:p w14:paraId="05A41309">
            <w:pPr>
              <w:spacing w:line="360" w:lineRule="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8、针对项目履约中的突发情况（如：食品安全事故、临时配送任务等采购人要求的其他情形），供应商需在接到采购人通知后3小时内响应并到达采购人指定地点。</w:t>
            </w:r>
          </w:p>
        </w:tc>
      </w:tr>
      <w:tr w14:paraId="0E3E56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0" w:hRule="atLeast"/>
          <w:jc w:val="center"/>
        </w:trPr>
        <w:tc>
          <w:tcPr>
            <w:tcW w:w="453" w:type="pct"/>
            <w:vAlign w:val="center"/>
          </w:tcPr>
          <w:p w14:paraId="2F5391B9">
            <w:pPr>
              <w:spacing w:line="360" w:lineRule="auto"/>
              <w:jc w:val="center"/>
              <w:rPr>
                <w:rFonts w:hint="eastAsia" w:ascii="仿宋" w:hAnsi="仿宋" w:eastAsia="仿宋" w:cs="仿宋"/>
                <w:color w:val="auto"/>
                <w:sz w:val="28"/>
                <w:szCs w:val="28"/>
                <w:highlight w:val="none"/>
              </w:rPr>
            </w:pPr>
          </w:p>
        </w:tc>
        <w:tc>
          <w:tcPr>
            <w:tcW w:w="359" w:type="pct"/>
            <w:vAlign w:val="center"/>
          </w:tcPr>
          <w:p w14:paraId="2046000E">
            <w:pPr>
              <w:pStyle w:val="16"/>
              <w:spacing w:line="360" w:lineRule="auto"/>
              <w:jc w:val="center"/>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val="en-US" w:eastAsia="zh-CN"/>
              </w:rPr>
              <w:t>7</w:t>
            </w:r>
          </w:p>
        </w:tc>
        <w:tc>
          <w:tcPr>
            <w:tcW w:w="4186" w:type="pct"/>
          </w:tcPr>
          <w:p w14:paraId="74766D34">
            <w:pPr>
              <w:pStyle w:val="16"/>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lang w:eastAsia="zh-CN"/>
              </w:rPr>
              <w:t>七</w:t>
            </w:r>
            <w:r>
              <w:rPr>
                <w:rFonts w:hint="eastAsia" w:ascii="仿宋" w:hAnsi="仿宋" w:eastAsia="仿宋" w:cs="仿宋"/>
                <w:b/>
                <w:color w:val="auto"/>
                <w:sz w:val="28"/>
                <w:szCs w:val="28"/>
                <w:highlight w:val="none"/>
              </w:rPr>
              <w:t>、食材配送考核表</w:t>
            </w:r>
          </w:p>
          <w:tbl>
            <w:tblPr>
              <w:tblStyle w:val="12"/>
              <w:tblW w:w="7367" w:type="dxa"/>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1316"/>
              <w:gridCol w:w="4087"/>
              <w:gridCol w:w="1337"/>
              <w:gridCol w:w="627"/>
            </w:tblGrid>
            <w:tr w14:paraId="0DC6AD0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893" w:type="pct"/>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center"/>
                </w:tcPr>
                <w:p w14:paraId="54A5988B">
                  <w:pPr>
                    <w:pStyle w:val="16"/>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供应商名称</w:t>
                  </w:r>
                </w:p>
              </w:tc>
              <w:tc>
                <w:tcPr>
                  <w:tcW w:w="2773" w:type="pct"/>
                  <w:tcBorders>
                    <w:top w:val="single" w:color="000000" w:sz="4" w:space="0"/>
                    <w:left w:val="nil"/>
                    <w:bottom w:val="single" w:color="000000" w:sz="4" w:space="0"/>
                    <w:right w:val="single" w:color="000000" w:sz="4" w:space="0"/>
                  </w:tcBorders>
                  <w:tcMar>
                    <w:top w:w="0" w:type="dxa"/>
                    <w:left w:w="105" w:type="dxa"/>
                    <w:bottom w:w="0" w:type="dxa"/>
                    <w:right w:w="105" w:type="dxa"/>
                  </w:tcMar>
                  <w:vAlign w:val="center"/>
                </w:tcPr>
                <w:p w14:paraId="51C7D7C9">
                  <w:pPr>
                    <w:pStyle w:val="16"/>
                    <w:jc w:val="center"/>
                    <w:rPr>
                      <w:rFonts w:hint="eastAsia" w:ascii="仿宋" w:hAnsi="仿宋" w:eastAsia="仿宋" w:cs="仿宋"/>
                      <w:color w:val="auto"/>
                      <w:sz w:val="28"/>
                      <w:szCs w:val="28"/>
                      <w:highlight w:val="none"/>
                    </w:rPr>
                  </w:pPr>
                </w:p>
              </w:tc>
              <w:tc>
                <w:tcPr>
                  <w:tcW w:w="907" w:type="pct"/>
                  <w:tcBorders>
                    <w:top w:val="single" w:color="000000" w:sz="4" w:space="0"/>
                    <w:left w:val="nil"/>
                    <w:bottom w:val="single" w:color="000000" w:sz="4" w:space="0"/>
                    <w:right w:val="single" w:color="000000" w:sz="4" w:space="0"/>
                  </w:tcBorders>
                  <w:tcMar>
                    <w:top w:w="0" w:type="dxa"/>
                    <w:left w:w="105" w:type="dxa"/>
                    <w:bottom w:w="0" w:type="dxa"/>
                    <w:right w:w="105" w:type="dxa"/>
                  </w:tcMar>
                  <w:vAlign w:val="center"/>
                </w:tcPr>
                <w:p w14:paraId="33D7B87C">
                  <w:pPr>
                    <w:pStyle w:val="16"/>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评价时间</w:t>
                  </w:r>
                </w:p>
              </w:tc>
              <w:tc>
                <w:tcPr>
                  <w:tcW w:w="425" w:type="pct"/>
                  <w:tcBorders>
                    <w:top w:val="single" w:color="000000" w:sz="4" w:space="0"/>
                    <w:left w:val="nil"/>
                    <w:bottom w:val="single" w:color="000000" w:sz="4" w:space="0"/>
                    <w:right w:val="single" w:color="000000" w:sz="4" w:space="0"/>
                  </w:tcBorders>
                  <w:tcMar>
                    <w:top w:w="0" w:type="dxa"/>
                    <w:left w:w="105" w:type="dxa"/>
                    <w:bottom w:w="0" w:type="dxa"/>
                    <w:right w:w="105" w:type="dxa"/>
                  </w:tcMar>
                  <w:vAlign w:val="center"/>
                </w:tcPr>
                <w:p w14:paraId="095FB455">
                  <w:pPr>
                    <w:pStyle w:val="16"/>
                    <w:jc w:val="center"/>
                    <w:rPr>
                      <w:rFonts w:hint="eastAsia" w:ascii="仿宋" w:hAnsi="仿宋" w:eastAsia="仿宋" w:cs="仿宋"/>
                      <w:color w:val="auto"/>
                      <w:sz w:val="28"/>
                      <w:szCs w:val="28"/>
                      <w:highlight w:val="none"/>
                    </w:rPr>
                  </w:pPr>
                </w:p>
              </w:tc>
            </w:tr>
            <w:tr w14:paraId="29F5649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3"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14:paraId="79E22740">
                  <w:pPr>
                    <w:pStyle w:val="16"/>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供货种类</w:t>
                  </w:r>
                </w:p>
              </w:tc>
              <w:tc>
                <w:tcPr>
                  <w:tcW w:w="2773" w:type="pct"/>
                  <w:tcBorders>
                    <w:top w:val="nil"/>
                    <w:left w:val="nil"/>
                    <w:bottom w:val="single" w:color="000000" w:sz="4" w:space="0"/>
                    <w:right w:val="single" w:color="000000" w:sz="4" w:space="0"/>
                  </w:tcBorders>
                  <w:tcMar>
                    <w:top w:w="0" w:type="dxa"/>
                    <w:left w:w="105" w:type="dxa"/>
                    <w:bottom w:w="0" w:type="dxa"/>
                    <w:right w:w="105" w:type="dxa"/>
                  </w:tcMar>
                  <w:vAlign w:val="center"/>
                </w:tcPr>
                <w:p w14:paraId="2EB56513">
                  <w:pPr>
                    <w:pStyle w:val="16"/>
                    <w:jc w:val="center"/>
                    <w:rPr>
                      <w:rFonts w:hint="eastAsia" w:ascii="仿宋" w:hAnsi="仿宋" w:eastAsia="仿宋" w:cs="仿宋"/>
                      <w:color w:val="auto"/>
                      <w:sz w:val="28"/>
                      <w:szCs w:val="28"/>
                      <w:highlight w:val="none"/>
                    </w:rPr>
                  </w:pPr>
                </w:p>
              </w:tc>
              <w:tc>
                <w:tcPr>
                  <w:tcW w:w="907" w:type="pct"/>
                  <w:tcBorders>
                    <w:top w:val="nil"/>
                    <w:left w:val="nil"/>
                    <w:bottom w:val="single" w:color="000000" w:sz="4" w:space="0"/>
                    <w:right w:val="single" w:color="000000" w:sz="4" w:space="0"/>
                  </w:tcBorders>
                  <w:tcMar>
                    <w:top w:w="0" w:type="dxa"/>
                    <w:left w:w="105" w:type="dxa"/>
                    <w:bottom w:w="0" w:type="dxa"/>
                    <w:right w:w="105" w:type="dxa"/>
                  </w:tcMar>
                  <w:vAlign w:val="center"/>
                </w:tcPr>
                <w:p w14:paraId="0C026898">
                  <w:pPr>
                    <w:pStyle w:val="16"/>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供货月份</w:t>
                  </w:r>
                </w:p>
              </w:tc>
              <w:tc>
                <w:tcPr>
                  <w:tcW w:w="425" w:type="pct"/>
                  <w:tcBorders>
                    <w:top w:val="nil"/>
                    <w:left w:val="nil"/>
                    <w:bottom w:val="single" w:color="000000" w:sz="4" w:space="0"/>
                    <w:right w:val="single" w:color="000000" w:sz="4" w:space="0"/>
                  </w:tcBorders>
                  <w:tcMar>
                    <w:top w:w="0" w:type="dxa"/>
                    <w:left w:w="105" w:type="dxa"/>
                    <w:bottom w:w="0" w:type="dxa"/>
                    <w:right w:w="105" w:type="dxa"/>
                  </w:tcMar>
                  <w:vAlign w:val="center"/>
                </w:tcPr>
                <w:p w14:paraId="43F60CC6">
                  <w:pPr>
                    <w:pStyle w:val="16"/>
                    <w:jc w:val="center"/>
                    <w:rPr>
                      <w:rFonts w:hint="eastAsia" w:ascii="仿宋" w:hAnsi="仿宋" w:eastAsia="仿宋" w:cs="仿宋"/>
                      <w:color w:val="auto"/>
                      <w:sz w:val="28"/>
                      <w:szCs w:val="28"/>
                      <w:highlight w:val="none"/>
                    </w:rPr>
                  </w:pPr>
                </w:p>
              </w:tc>
            </w:tr>
            <w:tr w14:paraId="199E7B5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3"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14:paraId="7C50D53F">
                  <w:pPr>
                    <w:pStyle w:val="16"/>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评价指标</w:t>
                  </w:r>
                </w:p>
              </w:tc>
              <w:tc>
                <w:tcPr>
                  <w:tcW w:w="2773" w:type="pct"/>
                  <w:tcBorders>
                    <w:top w:val="nil"/>
                    <w:left w:val="nil"/>
                    <w:bottom w:val="single" w:color="000000" w:sz="4" w:space="0"/>
                    <w:right w:val="single" w:color="000000" w:sz="4" w:space="0"/>
                  </w:tcBorders>
                  <w:tcMar>
                    <w:top w:w="0" w:type="dxa"/>
                    <w:left w:w="105" w:type="dxa"/>
                    <w:bottom w:w="0" w:type="dxa"/>
                    <w:right w:w="105" w:type="dxa"/>
                  </w:tcMar>
                  <w:vAlign w:val="center"/>
                </w:tcPr>
                <w:p w14:paraId="54A1CBCE">
                  <w:pPr>
                    <w:pStyle w:val="16"/>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指标说明</w:t>
                  </w:r>
                </w:p>
              </w:tc>
              <w:tc>
                <w:tcPr>
                  <w:tcW w:w="907" w:type="pct"/>
                  <w:tcBorders>
                    <w:top w:val="nil"/>
                    <w:left w:val="nil"/>
                    <w:bottom w:val="single" w:color="000000" w:sz="4" w:space="0"/>
                    <w:right w:val="single" w:color="000000" w:sz="4" w:space="0"/>
                  </w:tcBorders>
                  <w:tcMar>
                    <w:top w:w="0" w:type="dxa"/>
                    <w:left w:w="105" w:type="dxa"/>
                    <w:bottom w:w="0" w:type="dxa"/>
                    <w:right w:w="105" w:type="dxa"/>
                  </w:tcMar>
                  <w:vAlign w:val="center"/>
                </w:tcPr>
                <w:p w14:paraId="06FEF85E">
                  <w:pPr>
                    <w:pStyle w:val="16"/>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得分</w:t>
                  </w:r>
                </w:p>
              </w:tc>
              <w:tc>
                <w:tcPr>
                  <w:tcW w:w="425" w:type="pct"/>
                  <w:tcBorders>
                    <w:top w:val="nil"/>
                    <w:left w:val="nil"/>
                    <w:bottom w:val="single" w:color="000000" w:sz="4" w:space="0"/>
                    <w:right w:val="single" w:color="000000" w:sz="4" w:space="0"/>
                  </w:tcBorders>
                  <w:tcMar>
                    <w:top w:w="0" w:type="dxa"/>
                    <w:left w:w="105" w:type="dxa"/>
                    <w:bottom w:w="0" w:type="dxa"/>
                    <w:right w:w="105" w:type="dxa"/>
                  </w:tcMar>
                  <w:vAlign w:val="center"/>
                </w:tcPr>
                <w:p w14:paraId="5CBC75D9">
                  <w:pPr>
                    <w:pStyle w:val="16"/>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备注</w:t>
                  </w:r>
                </w:p>
              </w:tc>
            </w:tr>
            <w:tr w14:paraId="21350E5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3"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0D3C5EC">
                  <w:pPr>
                    <w:pStyle w:val="16"/>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送货及时性</w:t>
                  </w:r>
                </w:p>
                <w:p w14:paraId="78570A22">
                  <w:pPr>
                    <w:pStyle w:val="16"/>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(满分20分)</w:t>
                  </w:r>
                </w:p>
              </w:tc>
              <w:tc>
                <w:tcPr>
                  <w:tcW w:w="2773" w:type="pct"/>
                  <w:tcBorders>
                    <w:top w:val="nil"/>
                    <w:left w:val="nil"/>
                    <w:bottom w:val="single" w:color="000000" w:sz="4" w:space="0"/>
                    <w:right w:val="single" w:color="000000" w:sz="4" w:space="0"/>
                  </w:tcBorders>
                  <w:tcMar>
                    <w:top w:w="0" w:type="dxa"/>
                    <w:left w:w="105" w:type="dxa"/>
                    <w:bottom w:w="0" w:type="dxa"/>
                    <w:right w:w="105" w:type="dxa"/>
                  </w:tcMar>
                  <w:vAlign w:val="center"/>
                </w:tcPr>
                <w:p w14:paraId="2CB08715">
                  <w:pPr>
                    <w:pStyle w:val="16"/>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要求按时送货：</w:t>
                  </w:r>
                </w:p>
                <w:p w14:paraId="3130765E">
                  <w:pPr>
                    <w:pStyle w:val="16"/>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1、送货迟到，但不耽误</w:t>
                  </w:r>
                  <w:r>
                    <w:rPr>
                      <w:rFonts w:hint="eastAsia" w:ascii="仿宋" w:hAnsi="仿宋" w:eastAsia="仿宋" w:cs="仿宋"/>
                      <w:color w:val="auto"/>
                      <w:sz w:val="28"/>
                      <w:szCs w:val="28"/>
                      <w:highlight w:val="none"/>
                      <w:lang w:val="en-US" w:eastAsia="zh-CN"/>
                    </w:rPr>
                    <w:t>采购人</w:t>
                  </w:r>
                  <w:r>
                    <w:rPr>
                      <w:rFonts w:hint="eastAsia" w:ascii="仿宋" w:hAnsi="仿宋" w:eastAsia="仿宋" w:cs="仿宋"/>
                      <w:color w:val="auto"/>
                      <w:sz w:val="28"/>
                      <w:szCs w:val="28"/>
                      <w:highlight w:val="none"/>
                    </w:rPr>
                    <w:t>工作的，每迟到一次扣2分；</w:t>
                  </w:r>
                </w:p>
                <w:p w14:paraId="7B98CD43">
                  <w:pPr>
                    <w:pStyle w:val="16"/>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2、送货迟到，且耽误</w:t>
                  </w:r>
                  <w:r>
                    <w:rPr>
                      <w:rFonts w:hint="eastAsia" w:ascii="仿宋" w:hAnsi="仿宋" w:eastAsia="仿宋" w:cs="仿宋"/>
                      <w:color w:val="auto"/>
                      <w:sz w:val="28"/>
                      <w:szCs w:val="28"/>
                      <w:highlight w:val="none"/>
                      <w:lang w:val="en-US" w:eastAsia="zh-CN"/>
                    </w:rPr>
                    <w:t>采购人</w:t>
                  </w:r>
                  <w:r>
                    <w:rPr>
                      <w:rFonts w:hint="eastAsia" w:ascii="仿宋" w:hAnsi="仿宋" w:eastAsia="仿宋" w:cs="仿宋"/>
                      <w:color w:val="auto"/>
                      <w:sz w:val="28"/>
                      <w:szCs w:val="28"/>
                      <w:highlight w:val="none"/>
                    </w:rPr>
                    <w:t>工作的，每迟到一次扣5分；</w:t>
                  </w:r>
                </w:p>
                <w:p w14:paraId="2D6B13A7">
                  <w:pPr>
                    <w:pStyle w:val="16"/>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3、送到货品，装箱脏乱差，影响货品卫生、质量，每次扣2分。</w:t>
                  </w:r>
                </w:p>
              </w:tc>
              <w:tc>
                <w:tcPr>
                  <w:tcW w:w="907" w:type="pct"/>
                  <w:tcBorders>
                    <w:top w:val="nil"/>
                    <w:left w:val="nil"/>
                    <w:bottom w:val="single" w:color="000000" w:sz="4" w:space="0"/>
                    <w:right w:val="single" w:color="000000" w:sz="4" w:space="0"/>
                  </w:tcBorders>
                  <w:tcMar>
                    <w:top w:w="0" w:type="dxa"/>
                    <w:left w:w="105" w:type="dxa"/>
                    <w:bottom w:w="0" w:type="dxa"/>
                    <w:right w:w="105" w:type="dxa"/>
                  </w:tcMar>
                  <w:vAlign w:val="top"/>
                </w:tcPr>
                <w:p w14:paraId="13632072">
                  <w:pPr>
                    <w:pStyle w:val="16"/>
                    <w:jc w:val="both"/>
                    <w:rPr>
                      <w:rFonts w:hint="eastAsia" w:ascii="仿宋" w:hAnsi="仿宋" w:eastAsia="仿宋" w:cs="仿宋"/>
                      <w:color w:val="auto"/>
                      <w:sz w:val="28"/>
                      <w:szCs w:val="28"/>
                      <w:highlight w:val="none"/>
                    </w:rPr>
                  </w:pPr>
                </w:p>
              </w:tc>
              <w:tc>
                <w:tcPr>
                  <w:tcW w:w="425" w:type="pct"/>
                  <w:tcBorders>
                    <w:top w:val="nil"/>
                    <w:left w:val="nil"/>
                    <w:bottom w:val="single" w:color="000000" w:sz="4" w:space="0"/>
                    <w:right w:val="single" w:color="000000" w:sz="4" w:space="0"/>
                  </w:tcBorders>
                  <w:tcMar>
                    <w:top w:w="0" w:type="dxa"/>
                    <w:left w:w="105" w:type="dxa"/>
                    <w:bottom w:w="0" w:type="dxa"/>
                    <w:right w:w="105" w:type="dxa"/>
                  </w:tcMar>
                  <w:vAlign w:val="top"/>
                </w:tcPr>
                <w:p w14:paraId="7946F43F">
                  <w:pPr>
                    <w:rPr>
                      <w:rFonts w:hint="eastAsia" w:ascii="仿宋" w:hAnsi="仿宋" w:eastAsia="仿宋" w:cs="仿宋"/>
                      <w:color w:val="auto"/>
                      <w:sz w:val="28"/>
                      <w:szCs w:val="28"/>
                      <w:highlight w:val="none"/>
                    </w:rPr>
                  </w:pPr>
                </w:p>
              </w:tc>
            </w:tr>
            <w:tr w14:paraId="0A7EA0A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3"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F481F03">
                  <w:pPr>
                    <w:pStyle w:val="16"/>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货品质量</w:t>
                  </w:r>
                </w:p>
                <w:p w14:paraId="2F5B9C44">
                  <w:pPr>
                    <w:pStyle w:val="16"/>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(满分20分)</w:t>
                  </w:r>
                </w:p>
              </w:tc>
              <w:tc>
                <w:tcPr>
                  <w:tcW w:w="2773" w:type="pct"/>
                  <w:tcBorders>
                    <w:top w:val="nil"/>
                    <w:left w:val="nil"/>
                    <w:bottom w:val="single" w:color="000000" w:sz="4" w:space="0"/>
                    <w:right w:val="single" w:color="000000" w:sz="4" w:space="0"/>
                  </w:tcBorders>
                  <w:tcMar>
                    <w:top w:w="0" w:type="dxa"/>
                    <w:left w:w="105" w:type="dxa"/>
                    <w:bottom w:w="0" w:type="dxa"/>
                    <w:right w:w="105" w:type="dxa"/>
                  </w:tcMar>
                  <w:vAlign w:val="center"/>
                </w:tcPr>
                <w:p w14:paraId="64C60BF0">
                  <w:pPr>
                    <w:pStyle w:val="16"/>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要求货品新鲜、质优：</w:t>
                  </w:r>
                </w:p>
                <w:p w14:paraId="2C9D5165">
                  <w:pPr>
                    <w:pStyle w:val="16"/>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1、送来货品，品相一般，但都可使用，未变质，每次扣1分；</w:t>
                  </w:r>
                </w:p>
                <w:p w14:paraId="37E4D389">
                  <w:pPr>
                    <w:pStyle w:val="16"/>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2、送来货品，品相较差，但都可使用，未变质，每次扣2分；</w:t>
                  </w:r>
                </w:p>
                <w:p w14:paraId="5D14B086">
                  <w:pPr>
                    <w:pStyle w:val="16"/>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3、送来货品，品质差，不能使用，未变质，每次扣3分；</w:t>
                  </w:r>
                </w:p>
                <w:p w14:paraId="054F95A4">
                  <w:pPr>
                    <w:pStyle w:val="16"/>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4、送来货品，剩余保质期不超过该货品标明的保质期的</w:t>
                  </w:r>
                  <w:r>
                    <w:rPr>
                      <w:rFonts w:hint="eastAsia" w:ascii="仿宋" w:hAnsi="仿宋" w:eastAsia="仿宋" w:cs="仿宋"/>
                      <w:color w:val="auto"/>
                      <w:sz w:val="28"/>
                      <w:szCs w:val="28"/>
                      <w:highlight w:val="none"/>
                      <w:lang w:val="en-US" w:eastAsia="zh-CN"/>
                    </w:rPr>
                    <w:t>80%</w:t>
                  </w:r>
                  <w:r>
                    <w:rPr>
                      <w:rFonts w:hint="eastAsia" w:ascii="仿宋" w:hAnsi="仿宋" w:eastAsia="仿宋" w:cs="仿宋"/>
                      <w:color w:val="auto"/>
                      <w:sz w:val="28"/>
                      <w:szCs w:val="28"/>
                      <w:highlight w:val="none"/>
                    </w:rPr>
                    <w:t>，每次扣5分；</w:t>
                  </w:r>
                </w:p>
                <w:p w14:paraId="02E83E81">
                  <w:pPr>
                    <w:pStyle w:val="16"/>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5、送来货品，过期或变质，每次扣15分；</w:t>
                  </w:r>
                </w:p>
                <w:p w14:paraId="39C49814">
                  <w:pPr>
                    <w:pStyle w:val="16"/>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6、送来货品，应符合国家食品卫生标准，提供质检合格证明，每次不符合扣10分。</w:t>
                  </w:r>
                </w:p>
              </w:tc>
              <w:tc>
                <w:tcPr>
                  <w:tcW w:w="907" w:type="pct"/>
                  <w:tcBorders>
                    <w:top w:val="nil"/>
                    <w:left w:val="nil"/>
                    <w:bottom w:val="single" w:color="000000" w:sz="4" w:space="0"/>
                    <w:right w:val="single" w:color="000000" w:sz="4" w:space="0"/>
                  </w:tcBorders>
                  <w:tcMar>
                    <w:top w:w="0" w:type="dxa"/>
                    <w:left w:w="105" w:type="dxa"/>
                    <w:bottom w:w="0" w:type="dxa"/>
                    <w:right w:w="105" w:type="dxa"/>
                  </w:tcMar>
                  <w:vAlign w:val="top"/>
                </w:tcPr>
                <w:p w14:paraId="1CC15C54">
                  <w:pPr>
                    <w:pStyle w:val="16"/>
                    <w:jc w:val="both"/>
                    <w:rPr>
                      <w:rFonts w:hint="eastAsia" w:ascii="仿宋" w:hAnsi="仿宋" w:eastAsia="仿宋" w:cs="仿宋"/>
                      <w:color w:val="auto"/>
                      <w:sz w:val="28"/>
                      <w:szCs w:val="28"/>
                      <w:highlight w:val="none"/>
                    </w:rPr>
                  </w:pPr>
                </w:p>
              </w:tc>
              <w:tc>
                <w:tcPr>
                  <w:tcW w:w="425" w:type="pct"/>
                  <w:tcBorders>
                    <w:top w:val="nil"/>
                    <w:left w:val="nil"/>
                    <w:bottom w:val="single" w:color="000000" w:sz="4" w:space="0"/>
                    <w:right w:val="single" w:color="000000" w:sz="4" w:space="0"/>
                  </w:tcBorders>
                  <w:tcMar>
                    <w:top w:w="0" w:type="dxa"/>
                    <w:left w:w="105" w:type="dxa"/>
                    <w:bottom w:w="0" w:type="dxa"/>
                    <w:right w:w="105" w:type="dxa"/>
                  </w:tcMar>
                  <w:vAlign w:val="top"/>
                </w:tcPr>
                <w:p w14:paraId="3B55E414">
                  <w:pPr>
                    <w:rPr>
                      <w:rFonts w:hint="eastAsia" w:ascii="仿宋" w:hAnsi="仿宋" w:eastAsia="仿宋" w:cs="仿宋"/>
                      <w:color w:val="auto"/>
                      <w:sz w:val="28"/>
                      <w:szCs w:val="28"/>
                      <w:highlight w:val="none"/>
                    </w:rPr>
                  </w:pPr>
                </w:p>
              </w:tc>
            </w:tr>
            <w:tr w14:paraId="79DED85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3"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E5A97BE">
                  <w:pPr>
                    <w:pStyle w:val="16"/>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货品数量</w:t>
                  </w:r>
                </w:p>
                <w:p w14:paraId="0452BBD3">
                  <w:pPr>
                    <w:pStyle w:val="16"/>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(满分20分)</w:t>
                  </w:r>
                </w:p>
              </w:tc>
              <w:tc>
                <w:tcPr>
                  <w:tcW w:w="2773" w:type="pct"/>
                  <w:tcBorders>
                    <w:top w:val="nil"/>
                    <w:left w:val="nil"/>
                    <w:bottom w:val="single" w:color="000000" w:sz="4" w:space="0"/>
                    <w:right w:val="single" w:color="000000" w:sz="4" w:space="0"/>
                  </w:tcBorders>
                  <w:tcMar>
                    <w:top w:w="0" w:type="dxa"/>
                    <w:left w:w="105" w:type="dxa"/>
                    <w:bottom w:w="0" w:type="dxa"/>
                    <w:right w:w="105" w:type="dxa"/>
                  </w:tcMar>
                  <w:vAlign w:val="center"/>
                </w:tcPr>
                <w:p w14:paraId="60C57E8C">
                  <w:pPr>
                    <w:pStyle w:val="16"/>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要求按订单供应准确数量（允许误差±5%内）：</w:t>
                  </w:r>
                </w:p>
                <w:p w14:paraId="2547254E">
                  <w:pPr>
                    <w:pStyle w:val="16"/>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1、±5%≤供货数量误差≤±10%，每次扣1分；</w:t>
                  </w:r>
                </w:p>
                <w:p w14:paraId="40F90611">
                  <w:pPr>
                    <w:pStyle w:val="16"/>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2、±10%＜供货数量误差≤±20%，每次扣2分</w:t>
                  </w:r>
                </w:p>
                <w:p w14:paraId="61B538A0">
                  <w:pPr>
                    <w:pStyle w:val="16"/>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3、供货数量误＞±20%，每次扣3分。</w:t>
                  </w:r>
                </w:p>
              </w:tc>
              <w:tc>
                <w:tcPr>
                  <w:tcW w:w="907" w:type="pct"/>
                  <w:tcBorders>
                    <w:top w:val="nil"/>
                    <w:left w:val="nil"/>
                    <w:bottom w:val="single" w:color="000000" w:sz="4" w:space="0"/>
                    <w:right w:val="single" w:color="000000" w:sz="4" w:space="0"/>
                  </w:tcBorders>
                  <w:tcMar>
                    <w:top w:w="0" w:type="dxa"/>
                    <w:left w:w="105" w:type="dxa"/>
                    <w:bottom w:w="0" w:type="dxa"/>
                    <w:right w:w="105" w:type="dxa"/>
                  </w:tcMar>
                  <w:vAlign w:val="top"/>
                </w:tcPr>
                <w:p w14:paraId="462F3FE6">
                  <w:pPr>
                    <w:pStyle w:val="16"/>
                    <w:jc w:val="both"/>
                    <w:rPr>
                      <w:rFonts w:hint="eastAsia" w:ascii="仿宋" w:hAnsi="仿宋" w:eastAsia="仿宋" w:cs="仿宋"/>
                      <w:color w:val="auto"/>
                      <w:sz w:val="28"/>
                      <w:szCs w:val="28"/>
                      <w:highlight w:val="none"/>
                    </w:rPr>
                  </w:pPr>
                </w:p>
              </w:tc>
              <w:tc>
                <w:tcPr>
                  <w:tcW w:w="425" w:type="pct"/>
                  <w:tcBorders>
                    <w:top w:val="nil"/>
                    <w:left w:val="nil"/>
                    <w:bottom w:val="single" w:color="000000" w:sz="4" w:space="0"/>
                    <w:right w:val="single" w:color="000000" w:sz="4" w:space="0"/>
                  </w:tcBorders>
                  <w:tcMar>
                    <w:top w:w="0" w:type="dxa"/>
                    <w:left w:w="105" w:type="dxa"/>
                    <w:bottom w:w="0" w:type="dxa"/>
                    <w:right w:w="105" w:type="dxa"/>
                  </w:tcMar>
                  <w:vAlign w:val="top"/>
                </w:tcPr>
                <w:p w14:paraId="4CFED800">
                  <w:pPr>
                    <w:rPr>
                      <w:rFonts w:hint="eastAsia" w:ascii="仿宋" w:hAnsi="仿宋" w:eastAsia="仿宋" w:cs="仿宋"/>
                      <w:color w:val="auto"/>
                      <w:sz w:val="28"/>
                      <w:szCs w:val="28"/>
                      <w:highlight w:val="none"/>
                    </w:rPr>
                  </w:pPr>
                </w:p>
              </w:tc>
            </w:tr>
            <w:tr w14:paraId="007ECF2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3"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8431F3D">
                  <w:pPr>
                    <w:pStyle w:val="16"/>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货品规格</w:t>
                  </w:r>
                </w:p>
                <w:p w14:paraId="616D1F7A">
                  <w:pPr>
                    <w:pStyle w:val="16"/>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（满10分）</w:t>
                  </w:r>
                </w:p>
              </w:tc>
              <w:tc>
                <w:tcPr>
                  <w:tcW w:w="2773" w:type="pct"/>
                  <w:tcBorders>
                    <w:top w:val="nil"/>
                    <w:left w:val="nil"/>
                    <w:bottom w:val="single" w:color="000000" w:sz="4" w:space="0"/>
                    <w:right w:val="single" w:color="000000" w:sz="4" w:space="0"/>
                  </w:tcBorders>
                  <w:tcMar>
                    <w:top w:w="0" w:type="dxa"/>
                    <w:left w:w="105" w:type="dxa"/>
                    <w:bottom w:w="0" w:type="dxa"/>
                    <w:right w:w="105" w:type="dxa"/>
                  </w:tcMar>
                  <w:vAlign w:val="center"/>
                </w:tcPr>
                <w:p w14:paraId="47D37A8C">
                  <w:pPr>
                    <w:pStyle w:val="16"/>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要求货品规格符合条件：</w:t>
                  </w:r>
                </w:p>
                <w:p w14:paraId="5F9D573C">
                  <w:pPr>
                    <w:pStyle w:val="16"/>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送来货品规格与订购规格不符合的，每次扣2分。</w:t>
                  </w:r>
                </w:p>
              </w:tc>
              <w:tc>
                <w:tcPr>
                  <w:tcW w:w="907" w:type="pct"/>
                  <w:tcBorders>
                    <w:top w:val="nil"/>
                    <w:left w:val="nil"/>
                    <w:bottom w:val="single" w:color="000000" w:sz="4" w:space="0"/>
                    <w:right w:val="single" w:color="000000" w:sz="4" w:space="0"/>
                  </w:tcBorders>
                  <w:tcMar>
                    <w:top w:w="0" w:type="dxa"/>
                    <w:left w:w="105" w:type="dxa"/>
                    <w:bottom w:w="0" w:type="dxa"/>
                    <w:right w:w="105" w:type="dxa"/>
                  </w:tcMar>
                  <w:vAlign w:val="top"/>
                </w:tcPr>
                <w:p w14:paraId="41FD5FF6">
                  <w:pPr>
                    <w:pStyle w:val="16"/>
                    <w:jc w:val="both"/>
                    <w:rPr>
                      <w:rFonts w:hint="eastAsia" w:ascii="仿宋" w:hAnsi="仿宋" w:eastAsia="仿宋" w:cs="仿宋"/>
                      <w:color w:val="auto"/>
                      <w:sz w:val="28"/>
                      <w:szCs w:val="28"/>
                      <w:highlight w:val="none"/>
                    </w:rPr>
                  </w:pPr>
                </w:p>
              </w:tc>
              <w:tc>
                <w:tcPr>
                  <w:tcW w:w="425" w:type="pct"/>
                  <w:tcBorders>
                    <w:top w:val="nil"/>
                    <w:left w:val="nil"/>
                    <w:bottom w:val="single" w:color="000000" w:sz="4" w:space="0"/>
                    <w:right w:val="single" w:color="000000" w:sz="4" w:space="0"/>
                  </w:tcBorders>
                  <w:tcMar>
                    <w:top w:w="0" w:type="dxa"/>
                    <w:left w:w="105" w:type="dxa"/>
                    <w:bottom w:w="0" w:type="dxa"/>
                    <w:right w:w="105" w:type="dxa"/>
                  </w:tcMar>
                  <w:vAlign w:val="top"/>
                </w:tcPr>
                <w:p w14:paraId="309ADB32">
                  <w:pPr>
                    <w:rPr>
                      <w:rFonts w:hint="eastAsia" w:ascii="仿宋" w:hAnsi="仿宋" w:eastAsia="仿宋" w:cs="仿宋"/>
                      <w:color w:val="auto"/>
                      <w:sz w:val="28"/>
                      <w:szCs w:val="28"/>
                      <w:highlight w:val="none"/>
                    </w:rPr>
                  </w:pPr>
                </w:p>
              </w:tc>
            </w:tr>
            <w:tr w14:paraId="64A3105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3"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EB6593A">
                  <w:pPr>
                    <w:pStyle w:val="16"/>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货品价格</w:t>
                  </w:r>
                </w:p>
                <w:p w14:paraId="2EE6844B">
                  <w:pPr>
                    <w:pStyle w:val="16"/>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(满分20分)</w:t>
                  </w:r>
                </w:p>
              </w:tc>
              <w:tc>
                <w:tcPr>
                  <w:tcW w:w="2773" w:type="pct"/>
                  <w:tcBorders>
                    <w:top w:val="nil"/>
                    <w:left w:val="nil"/>
                    <w:bottom w:val="single" w:color="000000" w:sz="4" w:space="0"/>
                    <w:right w:val="single" w:color="000000" w:sz="4" w:space="0"/>
                  </w:tcBorders>
                  <w:tcMar>
                    <w:top w:w="0" w:type="dxa"/>
                    <w:left w:w="105" w:type="dxa"/>
                    <w:bottom w:w="0" w:type="dxa"/>
                    <w:right w:w="105" w:type="dxa"/>
                  </w:tcMar>
                  <w:vAlign w:val="center"/>
                </w:tcPr>
                <w:p w14:paraId="0EE5DA46">
                  <w:pPr>
                    <w:pStyle w:val="16"/>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要求定价合理：</w:t>
                  </w:r>
                </w:p>
                <w:p w14:paraId="42543388">
                  <w:pPr>
                    <w:pStyle w:val="16"/>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是否依时报价，是否存在临时补货物品价格虚高的情况；是否存在对账单价格乱报、错报等的情况；如发现上述问题，每次扣分2分，最高扣分20分。</w:t>
                  </w:r>
                </w:p>
              </w:tc>
              <w:tc>
                <w:tcPr>
                  <w:tcW w:w="907" w:type="pct"/>
                  <w:tcBorders>
                    <w:top w:val="nil"/>
                    <w:left w:val="nil"/>
                    <w:bottom w:val="single" w:color="000000" w:sz="4" w:space="0"/>
                    <w:right w:val="single" w:color="000000" w:sz="4" w:space="0"/>
                  </w:tcBorders>
                  <w:tcMar>
                    <w:top w:w="0" w:type="dxa"/>
                    <w:left w:w="105" w:type="dxa"/>
                    <w:bottom w:w="0" w:type="dxa"/>
                    <w:right w:w="105" w:type="dxa"/>
                  </w:tcMar>
                  <w:vAlign w:val="top"/>
                </w:tcPr>
                <w:p w14:paraId="7F3DEA56">
                  <w:pPr>
                    <w:pStyle w:val="16"/>
                    <w:jc w:val="both"/>
                    <w:rPr>
                      <w:rFonts w:hint="eastAsia" w:ascii="仿宋" w:hAnsi="仿宋" w:eastAsia="仿宋" w:cs="仿宋"/>
                      <w:color w:val="auto"/>
                      <w:sz w:val="28"/>
                      <w:szCs w:val="28"/>
                      <w:highlight w:val="none"/>
                    </w:rPr>
                  </w:pPr>
                </w:p>
              </w:tc>
              <w:tc>
                <w:tcPr>
                  <w:tcW w:w="425" w:type="pct"/>
                  <w:tcBorders>
                    <w:top w:val="nil"/>
                    <w:left w:val="nil"/>
                    <w:bottom w:val="single" w:color="000000" w:sz="4" w:space="0"/>
                    <w:right w:val="single" w:color="000000" w:sz="4" w:space="0"/>
                  </w:tcBorders>
                  <w:tcMar>
                    <w:top w:w="0" w:type="dxa"/>
                    <w:left w:w="105" w:type="dxa"/>
                    <w:bottom w:w="0" w:type="dxa"/>
                    <w:right w:w="105" w:type="dxa"/>
                  </w:tcMar>
                  <w:vAlign w:val="top"/>
                </w:tcPr>
                <w:p w14:paraId="4858D0C4">
                  <w:pPr>
                    <w:rPr>
                      <w:rFonts w:hint="eastAsia" w:ascii="仿宋" w:hAnsi="仿宋" w:eastAsia="仿宋" w:cs="仿宋"/>
                      <w:color w:val="auto"/>
                      <w:sz w:val="28"/>
                      <w:szCs w:val="28"/>
                      <w:highlight w:val="none"/>
                    </w:rPr>
                  </w:pPr>
                </w:p>
              </w:tc>
            </w:tr>
            <w:tr w14:paraId="2B851C0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3"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C7FBD3E">
                  <w:pPr>
                    <w:pStyle w:val="16"/>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服务态度</w:t>
                  </w:r>
                </w:p>
                <w:p w14:paraId="12D885BE">
                  <w:pPr>
                    <w:pStyle w:val="16"/>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(满分10分)</w:t>
                  </w:r>
                </w:p>
              </w:tc>
              <w:tc>
                <w:tcPr>
                  <w:tcW w:w="2773" w:type="pct"/>
                  <w:tcBorders>
                    <w:top w:val="nil"/>
                    <w:left w:val="nil"/>
                    <w:bottom w:val="single" w:color="000000" w:sz="4" w:space="0"/>
                    <w:right w:val="single" w:color="000000" w:sz="4" w:space="0"/>
                  </w:tcBorders>
                  <w:tcMar>
                    <w:top w:w="0" w:type="dxa"/>
                    <w:left w:w="105" w:type="dxa"/>
                    <w:bottom w:w="0" w:type="dxa"/>
                    <w:right w:w="105" w:type="dxa"/>
                  </w:tcMar>
                  <w:vAlign w:val="center"/>
                </w:tcPr>
                <w:p w14:paraId="2877B386">
                  <w:pPr>
                    <w:pStyle w:val="16"/>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要求服务态度良好，积极配合，有问题及时改正：</w:t>
                  </w:r>
                </w:p>
                <w:p w14:paraId="6EA38C84">
                  <w:pPr>
                    <w:pStyle w:val="16"/>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1、服务态度一般，但问题及时改正的，每次扣1分；</w:t>
                  </w:r>
                </w:p>
                <w:p w14:paraId="63501C99">
                  <w:pPr>
                    <w:pStyle w:val="16"/>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2、服务态度一般，且问题不能及时改正的，每次扣2分；</w:t>
                  </w:r>
                </w:p>
                <w:p w14:paraId="142A9185">
                  <w:pPr>
                    <w:pStyle w:val="16"/>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3、服务态度差，且问题不能及时改正的，每次扣3分。</w:t>
                  </w:r>
                </w:p>
              </w:tc>
              <w:tc>
                <w:tcPr>
                  <w:tcW w:w="907" w:type="pct"/>
                  <w:tcBorders>
                    <w:top w:val="nil"/>
                    <w:left w:val="nil"/>
                    <w:bottom w:val="single" w:color="000000" w:sz="4" w:space="0"/>
                    <w:right w:val="single" w:color="000000" w:sz="4" w:space="0"/>
                  </w:tcBorders>
                  <w:tcMar>
                    <w:top w:w="0" w:type="dxa"/>
                    <w:left w:w="105" w:type="dxa"/>
                    <w:bottom w:w="0" w:type="dxa"/>
                    <w:right w:w="105" w:type="dxa"/>
                  </w:tcMar>
                  <w:vAlign w:val="top"/>
                </w:tcPr>
                <w:p w14:paraId="62274627">
                  <w:pPr>
                    <w:pStyle w:val="16"/>
                    <w:jc w:val="both"/>
                    <w:rPr>
                      <w:rFonts w:hint="eastAsia" w:ascii="仿宋" w:hAnsi="仿宋" w:eastAsia="仿宋" w:cs="仿宋"/>
                      <w:color w:val="auto"/>
                      <w:sz w:val="28"/>
                      <w:szCs w:val="28"/>
                      <w:highlight w:val="none"/>
                    </w:rPr>
                  </w:pPr>
                </w:p>
              </w:tc>
              <w:tc>
                <w:tcPr>
                  <w:tcW w:w="425" w:type="pct"/>
                  <w:tcBorders>
                    <w:top w:val="nil"/>
                    <w:left w:val="nil"/>
                    <w:bottom w:val="single" w:color="000000" w:sz="4" w:space="0"/>
                    <w:right w:val="single" w:color="000000" w:sz="4" w:space="0"/>
                  </w:tcBorders>
                  <w:tcMar>
                    <w:top w:w="0" w:type="dxa"/>
                    <w:left w:w="105" w:type="dxa"/>
                    <w:bottom w:w="0" w:type="dxa"/>
                    <w:right w:w="105" w:type="dxa"/>
                  </w:tcMar>
                  <w:vAlign w:val="top"/>
                </w:tcPr>
                <w:p w14:paraId="459BF40E">
                  <w:pPr>
                    <w:rPr>
                      <w:rFonts w:hint="eastAsia" w:ascii="仿宋" w:hAnsi="仿宋" w:eastAsia="仿宋" w:cs="仿宋"/>
                      <w:color w:val="auto"/>
                      <w:sz w:val="28"/>
                      <w:szCs w:val="28"/>
                      <w:highlight w:val="none"/>
                    </w:rPr>
                  </w:pPr>
                </w:p>
              </w:tc>
            </w:tr>
            <w:tr w14:paraId="66DDBC8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3"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35A706B">
                  <w:pPr>
                    <w:pStyle w:val="16"/>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是否存在以下行为</w:t>
                  </w:r>
                </w:p>
              </w:tc>
              <w:tc>
                <w:tcPr>
                  <w:tcW w:w="2773" w:type="pct"/>
                  <w:tcBorders>
                    <w:top w:val="nil"/>
                    <w:left w:val="nil"/>
                    <w:bottom w:val="single" w:color="000000" w:sz="4" w:space="0"/>
                    <w:right w:val="single" w:color="000000" w:sz="4" w:space="0"/>
                  </w:tcBorders>
                  <w:tcMar>
                    <w:top w:w="0" w:type="dxa"/>
                    <w:left w:w="105" w:type="dxa"/>
                    <w:bottom w:w="0" w:type="dxa"/>
                    <w:right w:w="105" w:type="dxa"/>
                  </w:tcMar>
                  <w:vAlign w:val="center"/>
                </w:tcPr>
                <w:p w14:paraId="6DAC3051">
                  <w:pPr>
                    <w:pStyle w:val="16"/>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1、供应假冒伪劣产品；</w:t>
                  </w:r>
                </w:p>
                <w:p w14:paraId="21AC80A0">
                  <w:pPr>
                    <w:pStyle w:val="16"/>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2、整改时间结束后仍未达到整改要求。</w:t>
                  </w:r>
                </w:p>
              </w:tc>
              <w:tc>
                <w:tcPr>
                  <w:tcW w:w="907" w:type="pct"/>
                  <w:tcBorders>
                    <w:top w:val="nil"/>
                    <w:left w:val="nil"/>
                    <w:bottom w:val="single" w:color="000000" w:sz="4" w:space="0"/>
                    <w:right w:val="single" w:color="000000" w:sz="4" w:space="0"/>
                  </w:tcBorders>
                  <w:tcMar>
                    <w:top w:w="0" w:type="dxa"/>
                    <w:left w:w="105" w:type="dxa"/>
                    <w:bottom w:w="0" w:type="dxa"/>
                    <w:right w:w="105" w:type="dxa"/>
                  </w:tcMar>
                  <w:vAlign w:val="top"/>
                </w:tcPr>
                <w:p w14:paraId="1794ACA9">
                  <w:pPr>
                    <w:pStyle w:val="16"/>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1.□是</w:t>
                  </w:r>
                </w:p>
                <w:p w14:paraId="5E935B1C">
                  <w:pPr>
                    <w:pStyle w:val="16"/>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□否</w:t>
                  </w:r>
                </w:p>
                <w:p w14:paraId="24EF0840">
                  <w:pPr>
                    <w:pStyle w:val="16"/>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2.□是</w:t>
                  </w:r>
                </w:p>
                <w:p w14:paraId="1AA06E02">
                  <w:pPr>
                    <w:pStyle w:val="16"/>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□否</w:t>
                  </w:r>
                </w:p>
              </w:tc>
              <w:tc>
                <w:tcPr>
                  <w:tcW w:w="425" w:type="pct"/>
                  <w:tcBorders>
                    <w:top w:val="nil"/>
                    <w:left w:val="nil"/>
                    <w:bottom w:val="single" w:color="000000" w:sz="4" w:space="0"/>
                    <w:right w:val="single" w:color="000000" w:sz="4" w:space="0"/>
                  </w:tcBorders>
                  <w:tcMar>
                    <w:top w:w="0" w:type="dxa"/>
                    <w:left w:w="105" w:type="dxa"/>
                    <w:bottom w:w="0" w:type="dxa"/>
                    <w:right w:w="105" w:type="dxa"/>
                  </w:tcMar>
                  <w:vAlign w:val="top"/>
                </w:tcPr>
                <w:p w14:paraId="4D01A285">
                  <w:pPr>
                    <w:pStyle w:val="16"/>
                    <w:jc w:val="both"/>
                    <w:rPr>
                      <w:rFonts w:hint="eastAsia" w:ascii="仿宋" w:hAnsi="仿宋" w:eastAsia="仿宋" w:cs="仿宋"/>
                      <w:color w:val="auto"/>
                      <w:sz w:val="28"/>
                      <w:szCs w:val="28"/>
                      <w:highlight w:val="none"/>
                    </w:rPr>
                  </w:pPr>
                </w:p>
              </w:tc>
            </w:tr>
            <w:tr w14:paraId="3D28DAD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3"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3543677">
                  <w:pPr>
                    <w:pStyle w:val="16"/>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综合评价</w:t>
                  </w:r>
                </w:p>
              </w:tc>
              <w:tc>
                <w:tcPr>
                  <w:tcW w:w="2773" w:type="pct"/>
                  <w:tcBorders>
                    <w:top w:val="nil"/>
                    <w:left w:val="nil"/>
                    <w:bottom w:val="single" w:color="000000" w:sz="4" w:space="0"/>
                    <w:right w:val="single" w:color="000000" w:sz="4" w:space="0"/>
                  </w:tcBorders>
                  <w:tcMar>
                    <w:top w:w="0" w:type="dxa"/>
                    <w:left w:w="105" w:type="dxa"/>
                    <w:bottom w:w="0" w:type="dxa"/>
                    <w:right w:w="105" w:type="dxa"/>
                  </w:tcMar>
                  <w:vAlign w:val="top"/>
                </w:tcPr>
                <w:p w14:paraId="7535D138">
                  <w:pPr>
                    <w:pStyle w:val="16"/>
                    <w:jc w:val="both"/>
                    <w:rPr>
                      <w:rFonts w:hint="eastAsia" w:ascii="仿宋" w:hAnsi="仿宋" w:eastAsia="仿宋" w:cs="仿宋"/>
                      <w:color w:val="auto"/>
                      <w:sz w:val="28"/>
                      <w:szCs w:val="28"/>
                      <w:highlight w:val="none"/>
                    </w:rPr>
                  </w:pPr>
                </w:p>
              </w:tc>
              <w:tc>
                <w:tcPr>
                  <w:tcW w:w="907" w:type="pct"/>
                  <w:tcBorders>
                    <w:top w:val="nil"/>
                    <w:left w:val="nil"/>
                    <w:bottom w:val="single" w:color="000000" w:sz="4" w:space="0"/>
                    <w:right w:val="single" w:color="000000" w:sz="4" w:space="0"/>
                  </w:tcBorders>
                  <w:tcMar>
                    <w:top w:w="0" w:type="dxa"/>
                    <w:left w:w="105" w:type="dxa"/>
                    <w:bottom w:w="0" w:type="dxa"/>
                    <w:right w:w="105" w:type="dxa"/>
                  </w:tcMar>
                  <w:vAlign w:val="top"/>
                </w:tcPr>
                <w:p w14:paraId="410B8D98">
                  <w:pPr>
                    <w:rPr>
                      <w:rFonts w:hint="eastAsia" w:ascii="仿宋" w:hAnsi="仿宋" w:eastAsia="仿宋" w:cs="仿宋"/>
                      <w:color w:val="auto"/>
                      <w:sz w:val="28"/>
                      <w:szCs w:val="28"/>
                      <w:highlight w:val="none"/>
                    </w:rPr>
                  </w:pPr>
                </w:p>
              </w:tc>
              <w:tc>
                <w:tcPr>
                  <w:tcW w:w="425" w:type="pct"/>
                  <w:tcBorders>
                    <w:top w:val="nil"/>
                    <w:left w:val="nil"/>
                    <w:bottom w:val="single" w:color="000000" w:sz="4" w:space="0"/>
                    <w:right w:val="single" w:color="000000" w:sz="4" w:space="0"/>
                  </w:tcBorders>
                  <w:tcMar>
                    <w:top w:w="0" w:type="dxa"/>
                    <w:left w:w="105" w:type="dxa"/>
                    <w:bottom w:w="0" w:type="dxa"/>
                    <w:right w:w="105" w:type="dxa"/>
                  </w:tcMar>
                  <w:vAlign w:val="top"/>
                </w:tcPr>
                <w:p w14:paraId="5C3F7763">
                  <w:pPr>
                    <w:rPr>
                      <w:rFonts w:hint="eastAsia" w:ascii="仿宋" w:hAnsi="仿宋" w:eastAsia="仿宋" w:cs="仿宋"/>
                      <w:color w:val="auto"/>
                      <w:sz w:val="28"/>
                      <w:szCs w:val="28"/>
                      <w:highlight w:val="none"/>
                    </w:rPr>
                  </w:pPr>
                </w:p>
              </w:tc>
            </w:tr>
          </w:tbl>
          <w:p w14:paraId="65FA8664">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注：</w:t>
            </w:r>
          </w:p>
          <w:p w14:paraId="2F77034F">
            <w:pPr>
              <w:spacing w:line="360" w:lineRule="auto"/>
              <w:ind w:firstLine="560" w:firstLineChars="200"/>
              <w:rPr>
                <w:rFonts w:hint="eastAsia" w:ascii="仿宋" w:hAnsi="仿宋" w:eastAsia="仿宋" w:cs="仿宋"/>
                <w:color w:val="FF0000"/>
                <w:sz w:val="28"/>
                <w:szCs w:val="28"/>
                <w:highlight w:val="none"/>
              </w:rPr>
            </w:pPr>
            <w:r>
              <w:rPr>
                <w:rFonts w:hint="eastAsia" w:ascii="仿宋" w:hAnsi="仿宋" w:eastAsia="仿宋" w:cs="仿宋"/>
                <w:color w:val="FF0000"/>
                <w:sz w:val="28"/>
                <w:szCs w:val="28"/>
                <w:highlight w:val="none"/>
              </w:rPr>
              <w:t>1、采购人每月对中标人进行食材及服务质量考核跟踪，满分为100分，</w:t>
            </w:r>
            <w:r>
              <w:rPr>
                <w:rFonts w:hint="eastAsia" w:ascii="仿宋" w:hAnsi="仿宋" w:eastAsia="仿宋" w:cs="仿宋"/>
                <w:color w:val="FF0000"/>
                <w:sz w:val="28"/>
                <w:szCs w:val="28"/>
                <w:highlight w:val="none"/>
                <w:lang w:val="en-US" w:eastAsia="zh-CN"/>
              </w:rPr>
              <w:t>考核得分≥90分时采购人全额支付被考核时段月服务费用。其中，90分＞考核得分≥80分时，</w:t>
            </w:r>
            <w:r>
              <w:rPr>
                <w:rFonts w:hint="eastAsia" w:ascii="仿宋" w:hAnsi="仿宋" w:eastAsia="仿宋" w:cs="仿宋"/>
                <w:color w:val="FF0000"/>
                <w:sz w:val="28"/>
                <w:szCs w:val="28"/>
                <w:lang w:val="en-US" w:eastAsia="zh-CN"/>
              </w:rPr>
              <w:t>扣减被考核时段月服务费用的</w:t>
            </w:r>
            <w:r>
              <w:rPr>
                <w:rFonts w:hint="eastAsia" w:ascii="仿宋" w:hAnsi="仿宋" w:eastAsia="仿宋" w:cs="仿宋"/>
                <w:color w:val="FF0000"/>
                <w:sz w:val="28"/>
                <w:szCs w:val="28"/>
                <w:highlight w:val="none"/>
                <w:lang w:val="en-US" w:eastAsia="zh-CN"/>
              </w:rPr>
              <w:t>2%</w:t>
            </w:r>
            <w:r>
              <w:rPr>
                <w:rFonts w:hint="eastAsia" w:ascii="仿宋" w:hAnsi="仿宋" w:eastAsia="仿宋" w:cs="仿宋"/>
                <w:color w:val="FF0000"/>
                <w:sz w:val="28"/>
                <w:szCs w:val="28"/>
                <w:highlight w:val="none"/>
                <w:lang w:eastAsia="zh-CN"/>
              </w:rPr>
              <w:t>；</w:t>
            </w:r>
            <w:r>
              <w:rPr>
                <w:rFonts w:hint="eastAsia" w:ascii="仿宋" w:hAnsi="仿宋" w:eastAsia="仿宋" w:cs="仿宋"/>
                <w:color w:val="FF0000"/>
                <w:sz w:val="28"/>
                <w:szCs w:val="28"/>
                <w:highlight w:val="none"/>
                <w:lang w:val="en-US" w:eastAsia="zh-CN"/>
              </w:rPr>
              <w:t>80分＞考核得分≥70分时，</w:t>
            </w:r>
            <w:r>
              <w:rPr>
                <w:rFonts w:hint="eastAsia" w:ascii="仿宋" w:hAnsi="仿宋" w:eastAsia="仿宋" w:cs="仿宋"/>
                <w:color w:val="FF0000"/>
                <w:sz w:val="28"/>
                <w:szCs w:val="28"/>
                <w:lang w:val="en-US" w:eastAsia="zh-CN"/>
              </w:rPr>
              <w:t>扣减被考核时段月服务费用的</w:t>
            </w:r>
            <w:r>
              <w:rPr>
                <w:rFonts w:hint="eastAsia" w:ascii="仿宋" w:hAnsi="仿宋" w:eastAsia="仿宋" w:cs="仿宋"/>
                <w:color w:val="FF0000"/>
                <w:sz w:val="28"/>
                <w:szCs w:val="28"/>
                <w:highlight w:val="none"/>
                <w:lang w:val="en-US" w:eastAsia="zh-CN"/>
              </w:rPr>
              <w:t>5%</w:t>
            </w:r>
            <w:r>
              <w:rPr>
                <w:rFonts w:hint="eastAsia" w:ascii="仿宋" w:hAnsi="仿宋" w:eastAsia="仿宋" w:cs="仿宋"/>
                <w:color w:val="FF0000"/>
                <w:sz w:val="28"/>
                <w:szCs w:val="28"/>
                <w:highlight w:val="none"/>
                <w:lang w:eastAsia="zh-CN"/>
              </w:rPr>
              <w:t>；</w:t>
            </w:r>
            <w:r>
              <w:rPr>
                <w:rFonts w:hint="eastAsia" w:ascii="仿宋" w:hAnsi="仿宋" w:eastAsia="仿宋" w:cs="仿宋"/>
                <w:color w:val="FF0000"/>
                <w:sz w:val="28"/>
                <w:szCs w:val="28"/>
                <w:highlight w:val="none"/>
              </w:rPr>
              <w:t>考核得分＜70分的属不合格，</w:t>
            </w:r>
            <w:r>
              <w:rPr>
                <w:rFonts w:hint="eastAsia" w:ascii="仿宋" w:hAnsi="仿宋" w:eastAsia="仿宋" w:cs="仿宋"/>
                <w:color w:val="FF0000"/>
                <w:sz w:val="28"/>
                <w:szCs w:val="28"/>
                <w:lang w:val="en-US" w:eastAsia="zh-CN"/>
              </w:rPr>
              <w:t>扣减被考核时段月服务费用的</w:t>
            </w:r>
            <w:r>
              <w:rPr>
                <w:rFonts w:hint="eastAsia" w:ascii="仿宋" w:hAnsi="仿宋" w:eastAsia="仿宋" w:cs="仿宋"/>
                <w:color w:val="FF0000"/>
                <w:sz w:val="28"/>
                <w:szCs w:val="28"/>
                <w:highlight w:val="none"/>
                <w:lang w:val="en-US" w:eastAsia="zh-CN"/>
              </w:rPr>
              <w:t>10%</w:t>
            </w:r>
            <w:r>
              <w:rPr>
                <w:rFonts w:hint="eastAsia" w:ascii="仿宋" w:hAnsi="仿宋" w:eastAsia="仿宋" w:cs="仿宋"/>
                <w:color w:val="FF0000"/>
                <w:sz w:val="28"/>
                <w:szCs w:val="28"/>
                <w:highlight w:val="none"/>
              </w:rPr>
              <w:t>。中标人累计出现三次考核成绩不合格时，采购人有权单方面终止合同。</w:t>
            </w:r>
          </w:p>
          <w:p w14:paraId="56F550D8">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2、对服务期间出现下列情况之一的，采购人有权无条件单方面终止合同：</w:t>
            </w:r>
          </w:p>
          <w:p w14:paraId="47B376F8">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（1）因配送原材料问题，发生人员食物中毒等食材安全责任事故，且造成严重后果的。</w:t>
            </w:r>
          </w:p>
          <w:p w14:paraId="3A9990E5">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（2）在原材料配送过程中，存在掺杂作假，销售劣质、有害过期或无证食品等违规行为，经采购人规劝，或市场监督管理部门要求整改依然无效的。</w:t>
            </w:r>
          </w:p>
          <w:p w14:paraId="6C8394B3">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（3）在经营过程中，存在转包、分包和挂靠经营行为的。</w:t>
            </w:r>
          </w:p>
          <w:p w14:paraId="2389FBB8">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（4）在采购过程中以弄虚作假等欺诈手段获得准入资格的，或经营情况发生变化已不符合准入条件而又不改变的。</w:t>
            </w:r>
          </w:p>
        </w:tc>
      </w:tr>
      <w:tr w14:paraId="1984FC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0" w:hRule="atLeast"/>
          <w:jc w:val="center"/>
        </w:trPr>
        <w:tc>
          <w:tcPr>
            <w:tcW w:w="813" w:type="pct"/>
            <w:gridSpan w:val="2"/>
            <w:vAlign w:val="center"/>
          </w:tcPr>
          <w:p w14:paraId="69CDDFE0">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说明</w:t>
            </w:r>
          </w:p>
        </w:tc>
        <w:tc>
          <w:tcPr>
            <w:tcW w:w="4186" w:type="pct"/>
          </w:tcPr>
          <w:p w14:paraId="4095E7A2">
            <w:pPr>
              <w:pStyle w:val="16"/>
              <w:spacing w:line="360" w:lineRule="auto"/>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打“★”号条款为实质性条款，若有任何一条负偏离或不满足则导致投标无效。</w:t>
            </w:r>
          </w:p>
          <w:p w14:paraId="7B406D8E">
            <w:pPr>
              <w:pStyle w:val="16"/>
              <w:spacing w:line="360" w:lineRule="auto"/>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打“▲”号条款为重要技术参数，若有部分“▲”条款未响应或不满足，将导致其响应性评审加重扣分，但不作为无效投标条款。</w:t>
            </w:r>
          </w:p>
        </w:tc>
      </w:tr>
    </w:tbl>
    <w:p w14:paraId="27E3E278">
      <w:pPr>
        <w:pStyle w:val="16"/>
        <w:spacing w:line="360" w:lineRule="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采购包</w:t>
      </w:r>
      <w:r>
        <w:rPr>
          <w:rFonts w:hint="eastAsia" w:ascii="仿宋" w:hAnsi="仿宋" w:eastAsia="仿宋" w:cs="仿宋"/>
          <w:b/>
          <w:bCs/>
          <w:color w:val="auto"/>
          <w:sz w:val="28"/>
          <w:szCs w:val="28"/>
          <w:highlight w:val="none"/>
          <w:lang w:val="en-US" w:eastAsia="zh-CN"/>
        </w:rPr>
        <w:t>2</w:t>
      </w:r>
      <w:r>
        <w:rPr>
          <w:rFonts w:hint="eastAsia" w:ascii="仿宋" w:hAnsi="仿宋" w:eastAsia="仿宋" w:cs="仿宋"/>
          <w:b/>
          <w:bCs/>
          <w:color w:val="auto"/>
          <w:sz w:val="28"/>
          <w:szCs w:val="28"/>
          <w:highlight w:val="none"/>
        </w:rPr>
        <w:t>（</w:t>
      </w:r>
      <w:r>
        <w:rPr>
          <w:rFonts w:hint="eastAsia" w:ascii="仿宋" w:hAnsi="仿宋" w:eastAsia="仿宋" w:cs="仿宋"/>
          <w:b/>
          <w:bCs/>
          <w:color w:val="auto"/>
          <w:sz w:val="28"/>
          <w:szCs w:val="28"/>
          <w:highlight w:val="none"/>
          <w:lang w:val="en-US" w:eastAsia="zh-CN"/>
        </w:rPr>
        <w:t>干货调料、包点、蛋品及冰鲜类食材配送服务</w:t>
      </w:r>
      <w:r>
        <w:rPr>
          <w:rFonts w:hint="eastAsia" w:ascii="仿宋" w:hAnsi="仿宋" w:eastAsia="仿宋" w:cs="仿宋"/>
          <w:b/>
          <w:bCs/>
          <w:color w:val="auto"/>
          <w:sz w:val="28"/>
          <w:szCs w:val="28"/>
          <w:highlight w:val="none"/>
        </w:rPr>
        <w:t>）</w:t>
      </w:r>
    </w:p>
    <w:p w14:paraId="455E432B">
      <w:pPr>
        <w:pStyle w:val="16"/>
        <w:spacing w:line="360" w:lineRule="auto"/>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1.主要商务要求</w:t>
      </w:r>
    </w:p>
    <w:tbl>
      <w:tblPr>
        <w:tblStyle w:val="12"/>
        <w:tblW w:w="4998"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303"/>
        <w:gridCol w:w="6754"/>
      </w:tblGrid>
      <w:tr w14:paraId="76C203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71" w:type="pct"/>
            <w:vAlign w:val="center"/>
          </w:tcPr>
          <w:p w14:paraId="02B234DB">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标的提供的时间</w:t>
            </w:r>
          </w:p>
        </w:tc>
        <w:tc>
          <w:tcPr>
            <w:tcW w:w="3728" w:type="pct"/>
            <w:vAlign w:val="center"/>
          </w:tcPr>
          <w:p w14:paraId="17242971">
            <w:pPr>
              <w:pStyle w:val="16"/>
              <w:keepNext w:val="0"/>
              <w:keepLines w:val="0"/>
              <w:pageBreakBefore w:val="0"/>
              <w:widowControl/>
              <w:kinsoku/>
              <w:wordWrap w:val="0"/>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自合同签订之日起3年或本采购包预算金额（¥5,500,000.00）使用完毕，以其中一项先到达的为止。</w:t>
            </w:r>
          </w:p>
        </w:tc>
      </w:tr>
      <w:tr w14:paraId="060C62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71" w:type="pct"/>
            <w:vAlign w:val="center"/>
          </w:tcPr>
          <w:p w14:paraId="011C30CF">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标的提供的地点</w:t>
            </w:r>
          </w:p>
        </w:tc>
        <w:tc>
          <w:tcPr>
            <w:tcW w:w="6754" w:type="dxa"/>
            <w:vAlign w:val="center"/>
          </w:tcPr>
          <w:p w14:paraId="422A3170">
            <w:pPr>
              <w:pStyle w:val="16"/>
              <w:spacing w:line="360" w:lineRule="auto"/>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东莞市常平镇或</w:t>
            </w:r>
            <w:r>
              <w:rPr>
                <w:rFonts w:hint="eastAsia" w:ascii="仿宋" w:hAnsi="仿宋" w:eastAsia="仿宋" w:cs="仿宋"/>
                <w:color w:val="auto"/>
                <w:sz w:val="28"/>
                <w:szCs w:val="28"/>
                <w:highlight w:val="none"/>
              </w:rPr>
              <w:t>采购人指定的地点。</w:t>
            </w:r>
          </w:p>
        </w:tc>
      </w:tr>
      <w:tr w14:paraId="73F0EF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71" w:type="pct"/>
            <w:vAlign w:val="center"/>
          </w:tcPr>
          <w:p w14:paraId="4BA788BC">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付款方式</w:t>
            </w:r>
          </w:p>
        </w:tc>
        <w:tc>
          <w:tcPr>
            <w:tcW w:w="6754" w:type="dxa"/>
            <w:vAlign w:val="center"/>
          </w:tcPr>
          <w:p w14:paraId="5AD51563">
            <w:pPr>
              <w:pStyle w:val="16"/>
              <w:spacing w:line="360" w:lineRule="auto"/>
              <w:jc w:val="lef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每月10日前中标人凭经采购人签字确认的上月每日验收登记表（须列明配送时间、规格、质量、数量及价格等信息）、《食材配送考核表》、等额合规发票及本项目合同向采购人请款，请款资料中收款方、发票出具方、合同乙方均必须与中标人名称一致。采购人收到合格请款资料后10个工作日内根据中标人上月食材配送考核得分情况按约定扣减后支付对应服务费。</w:t>
            </w:r>
          </w:p>
        </w:tc>
      </w:tr>
      <w:tr w14:paraId="0CB74B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71" w:type="pct"/>
            <w:vAlign w:val="center"/>
          </w:tcPr>
          <w:p w14:paraId="4EF1D797">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验收要求</w:t>
            </w:r>
          </w:p>
        </w:tc>
        <w:tc>
          <w:tcPr>
            <w:tcW w:w="6754" w:type="dxa"/>
            <w:vAlign w:val="center"/>
          </w:tcPr>
          <w:p w14:paraId="45AD5A74">
            <w:pPr>
              <w:pStyle w:val="16"/>
              <w:numPr>
                <w:ilvl w:val="0"/>
                <w:numId w:val="0"/>
              </w:numPr>
              <w:spacing w:line="360" w:lineRule="auto"/>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中标人按照采购人要求将货物送至指定地点后，双方人员应及时对货物进行验收。食材的每日验收由采购人及中标人组成的验收小组进行共同验收，验收人员对当天所配送的食材进行规格、质量、数量、价格等方面的验收。验收标准严格按照国家、地方的相关规定、招标文件及投标文件相关内容执行。</w:t>
            </w:r>
          </w:p>
          <w:p w14:paraId="2A01E61B">
            <w:pPr>
              <w:pStyle w:val="16"/>
              <w:numPr>
                <w:ilvl w:val="0"/>
                <w:numId w:val="0"/>
              </w:numPr>
              <w:spacing w:line="360" w:lineRule="auto"/>
              <w:jc w:val="left"/>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2、交货验收程序如下：（1）双方人员核对送货清单。（2）数量检查：数量短缺的，中标人必须按照采购人要求补齐货物并承担延迟交货责任；送货数量超出订货数量的，超出部分采购人有权拒收，中标人自行将多余货物清运出采购人场所。（3）验收合格后，双方在验收登记表上签字确认，验收登记表作为结算对账依据。</w:t>
            </w:r>
            <w:r>
              <w:rPr>
                <w:rFonts w:hint="eastAsia" w:ascii="仿宋" w:hAnsi="仿宋" w:eastAsia="仿宋" w:cs="仿宋"/>
                <w:color w:val="auto"/>
                <w:sz w:val="28"/>
                <w:szCs w:val="28"/>
                <w:highlight w:val="none"/>
                <w:lang w:eastAsia="zh-CN"/>
              </w:rPr>
              <w:t>（4）出现退（补）货情况，应及时报告采购人相关负责人及校园膳食监督家长委员会。在退货过程中，对有碍公共卫生安全的食材，中标人须按国家有关规定处理或进行协议销毁，不得回收后进行二次利用或销售。</w:t>
            </w:r>
          </w:p>
          <w:p w14:paraId="4DAD9188">
            <w:pPr>
              <w:pStyle w:val="16"/>
              <w:numPr>
                <w:ilvl w:val="0"/>
                <w:numId w:val="0"/>
              </w:numPr>
              <w:spacing w:line="360" w:lineRule="auto"/>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双方对验收结果或货物质量持有异议的，中标人须先应采购人要求对货物进行更换或退货，然后由双方对存有异议的货物进行抽样封存，并在3日内交由采购人所在地的第三方检测机构进行检验，由此产生的检验费由中标人承担。</w:t>
            </w:r>
          </w:p>
          <w:p w14:paraId="0B903258">
            <w:pPr>
              <w:pStyle w:val="16"/>
              <w:numPr>
                <w:ilvl w:val="0"/>
                <w:numId w:val="0"/>
              </w:numPr>
              <w:spacing w:line="360" w:lineRule="auto"/>
              <w:ind w:left="0" w:leftChars="0" w:firstLine="0" w:firstLineChars="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4、除每日验收外，采购人每月10日前安排相关人员对中标人进行食材及服务质量考核跟踪，考核内容详见《食材配送考核表》</w:t>
            </w:r>
          </w:p>
        </w:tc>
      </w:tr>
      <w:tr w14:paraId="0194C3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35" w:hRule="atLeast"/>
        </w:trPr>
        <w:tc>
          <w:tcPr>
            <w:tcW w:w="1271" w:type="pct"/>
            <w:vAlign w:val="center"/>
          </w:tcPr>
          <w:p w14:paraId="4165F907">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履约保证金</w:t>
            </w:r>
          </w:p>
        </w:tc>
        <w:tc>
          <w:tcPr>
            <w:tcW w:w="3728" w:type="pct"/>
            <w:vAlign w:val="center"/>
          </w:tcPr>
          <w:p w14:paraId="329C792F">
            <w:pPr>
              <w:pStyle w:val="6"/>
              <w:spacing w:line="360" w:lineRule="auto"/>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收取比例：5%,说明：1、中标人须在签订采购合同后10日内，向采购人提交履约保证金或出具相等担保额度的履约担保函。2、中标人因自身原因不能按照招标文件规定签订合同或者没有有效执行合同的，采购人有权没收履约保证金并终止合同。3、中标人委派人员应严格按照规定认真履行职责，中标人委派的工作人员违反合同约定，造成的损失由中标人负责，损失金额超过人民币5万元或者造成不良社会影响的，采购人有权没收履约保证金或按履约保函担保额度索赔保证金并视情况终止合同。4、中标人的履约保证金在中标人按承诺完全履行合同的约定，服务期满并顺利交接后的30个工作日内，由采购人以转账（支票）形式退还给中标人或终止履约担保函期限。</w:t>
            </w:r>
          </w:p>
        </w:tc>
      </w:tr>
      <w:tr w14:paraId="71833D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90" w:hRule="atLeast"/>
        </w:trPr>
        <w:tc>
          <w:tcPr>
            <w:tcW w:w="1271" w:type="pct"/>
            <w:vAlign w:val="center"/>
          </w:tcPr>
          <w:p w14:paraId="15BCE31C">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其他</w:t>
            </w:r>
          </w:p>
        </w:tc>
        <w:tc>
          <w:tcPr>
            <w:tcW w:w="3728" w:type="pct"/>
            <w:vAlign w:val="center"/>
          </w:tcPr>
          <w:p w14:paraId="40EA809C">
            <w:pPr>
              <w:pStyle w:val="16"/>
              <w:spacing w:line="360" w:lineRule="auto"/>
              <w:jc w:val="left"/>
              <w:rPr>
                <w:rFonts w:hint="eastAsia" w:ascii="仿宋" w:hAnsi="仿宋" w:eastAsia="仿宋" w:cs="仿宋"/>
                <w:color w:val="auto"/>
                <w:sz w:val="28"/>
                <w:szCs w:val="28"/>
                <w:highlight w:val="none"/>
                <w:lang w:val="en-US" w:eastAsia="zh-CN"/>
              </w:rPr>
            </w:pPr>
          </w:p>
        </w:tc>
      </w:tr>
    </w:tbl>
    <w:p w14:paraId="3892FDC6">
      <w:pPr>
        <w:pStyle w:val="16"/>
        <w:spacing w:line="360" w:lineRule="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其他商务需求</w:t>
      </w:r>
    </w:p>
    <w:tbl>
      <w:tblPr>
        <w:tblStyle w:val="12"/>
        <w:tblW w:w="4997"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46"/>
        <w:gridCol w:w="839"/>
        <w:gridCol w:w="1047"/>
        <w:gridCol w:w="6306"/>
        <w:gridCol w:w="18"/>
      </w:tblGrid>
      <w:tr w14:paraId="0E85F3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9" w:type="pct"/>
        </w:trPr>
        <w:tc>
          <w:tcPr>
            <w:tcW w:w="467" w:type="pct"/>
            <w:vAlign w:val="center"/>
          </w:tcPr>
          <w:p w14:paraId="0733A353">
            <w:pPr>
              <w:pStyle w:val="16"/>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参数性质</w:t>
            </w:r>
          </w:p>
        </w:tc>
        <w:tc>
          <w:tcPr>
            <w:tcW w:w="463" w:type="pct"/>
            <w:vAlign w:val="center"/>
          </w:tcPr>
          <w:p w14:paraId="571DAB9D">
            <w:pPr>
              <w:pStyle w:val="16"/>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编号</w:t>
            </w:r>
          </w:p>
        </w:tc>
        <w:tc>
          <w:tcPr>
            <w:tcW w:w="578" w:type="pct"/>
            <w:vAlign w:val="center"/>
          </w:tcPr>
          <w:p w14:paraId="6CE56A25">
            <w:pPr>
              <w:pStyle w:val="16"/>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内容明细</w:t>
            </w:r>
          </w:p>
        </w:tc>
        <w:tc>
          <w:tcPr>
            <w:tcW w:w="3481" w:type="pct"/>
            <w:vAlign w:val="center"/>
          </w:tcPr>
          <w:p w14:paraId="6C5DD9BA">
            <w:pPr>
              <w:pStyle w:val="16"/>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内容说明</w:t>
            </w:r>
          </w:p>
        </w:tc>
      </w:tr>
      <w:tr w14:paraId="71CD51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9" w:type="pct"/>
        </w:trPr>
        <w:tc>
          <w:tcPr>
            <w:tcW w:w="467" w:type="pct"/>
            <w:vAlign w:val="center"/>
          </w:tcPr>
          <w:p w14:paraId="57F0BB50">
            <w:pPr>
              <w:pStyle w:val="16"/>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w:t>
            </w:r>
          </w:p>
        </w:tc>
        <w:tc>
          <w:tcPr>
            <w:tcW w:w="463" w:type="pct"/>
            <w:vAlign w:val="center"/>
          </w:tcPr>
          <w:p w14:paraId="10A38D34">
            <w:pPr>
              <w:pStyle w:val="16"/>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1</w:t>
            </w:r>
          </w:p>
        </w:tc>
        <w:tc>
          <w:tcPr>
            <w:tcW w:w="578" w:type="pct"/>
            <w:vAlign w:val="center"/>
          </w:tcPr>
          <w:p w14:paraId="0AFCA29D">
            <w:pPr>
              <w:pStyle w:val="16"/>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结算价格说明</w:t>
            </w:r>
          </w:p>
        </w:tc>
        <w:tc>
          <w:tcPr>
            <w:tcW w:w="3481" w:type="pct"/>
            <w:vAlign w:val="top"/>
          </w:tcPr>
          <w:p w14:paraId="0C07F0AF">
            <w:pPr>
              <w:pStyle w:val="16"/>
              <w:keepNext w:val="0"/>
              <w:keepLines w:val="0"/>
              <w:pageBreakBefore w:val="0"/>
              <w:widowControl/>
              <w:kinsoku/>
              <w:wordWrap w:val="0"/>
              <w:overflowPunct/>
              <w:topLinePunct w:val="0"/>
              <w:autoSpaceDE/>
              <w:autoSpaceDN/>
              <w:bidi w:val="0"/>
              <w:adjustRightInd/>
              <w:snapToGrid/>
              <w:spacing w:line="360" w:lineRule="auto"/>
              <w:jc w:val="left"/>
              <w:textAlignment w:val="auto"/>
              <w:rPr>
                <w:rFonts w:hint="default"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rPr>
              <w:t>1、基准价确定：（1）东莞市发展和改革局价格管理专栏（http://dgdp.dg.gov.cn/jggl/index.html）中《东莞市菜篮子价格监测表》有价格的货物，取《东莞市菜篮子价格监测表》公布的农贸市场平均零售价格为</w:t>
            </w:r>
            <w:r>
              <w:rPr>
                <w:rFonts w:hint="eastAsia" w:ascii="仿宋" w:hAnsi="仿宋" w:eastAsia="仿宋" w:cs="仿宋"/>
                <w:b/>
                <w:bCs/>
                <w:color w:val="auto"/>
                <w:sz w:val="28"/>
                <w:szCs w:val="28"/>
                <w:highlight w:val="none"/>
                <w:lang w:val="en-US" w:eastAsia="zh-CN"/>
              </w:rPr>
              <w:t>参考</w:t>
            </w:r>
            <w:r>
              <w:rPr>
                <w:rFonts w:hint="eastAsia" w:ascii="仿宋" w:hAnsi="仿宋" w:eastAsia="仿宋" w:cs="仿宋"/>
                <w:b/>
                <w:bCs/>
                <w:color w:val="auto"/>
                <w:sz w:val="28"/>
                <w:szCs w:val="28"/>
                <w:highlight w:val="none"/>
              </w:rPr>
              <w:t>基准价（以最近日期发布的价格为准）；（2）由采购人和中标人双方共同按常平木伦市场</w:t>
            </w:r>
            <w:r>
              <w:rPr>
                <w:rFonts w:hint="eastAsia" w:ascii="仿宋" w:hAnsi="仿宋" w:eastAsia="仿宋" w:cs="仿宋"/>
                <w:b/>
                <w:bCs/>
                <w:color w:val="auto"/>
                <w:sz w:val="28"/>
                <w:szCs w:val="28"/>
                <w:highlight w:val="none"/>
                <w:lang w:eastAsia="zh-CN"/>
              </w:rPr>
              <w:t>、</w:t>
            </w:r>
            <w:r>
              <w:rPr>
                <w:rFonts w:hint="eastAsia" w:ascii="仿宋" w:hAnsi="仿宋" w:eastAsia="仿宋" w:cs="仿宋"/>
                <w:b/>
                <w:bCs/>
                <w:color w:val="auto"/>
                <w:sz w:val="28"/>
                <w:szCs w:val="28"/>
                <w:highlight w:val="none"/>
              </w:rPr>
              <w:t>常平第一市场</w:t>
            </w:r>
            <w:r>
              <w:rPr>
                <w:rFonts w:hint="eastAsia" w:ascii="仿宋" w:hAnsi="仿宋" w:eastAsia="仿宋" w:cs="仿宋"/>
                <w:b/>
                <w:bCs/>
                <w:color w:val="auto"/>
                <w:sz w:val="28"/>
                <w:szCs w:val="28"/>
                <w:highlight w:val="none"/>
                <w:lang w:eastAsia="zh-CN"/>
              </w:rPr>
              <w:t>、</w:t>
            </w:r>
            <w:r>
              <w:rPr>
                <w:rFonts w:hint="eastAsia" w:ascii="仿宋" w:hAnsi="仿宋" w:eastAsia="仿宋" w:cs="仿宋"/>
                <w:b/>
                <w:bCs/>
                <w:color w:val="auto"/>
                <w:sz w:val="28"/>
                <w:szCs w:val="28"/>
                <w:highlight w:val="none"/>
              </w:rPr>
              <w:t>常平金美市场三个市场作为参考，以其同类产品价格的平均价作为</w:t>
            </w:r>
            <w:r>
              <w:rPr>
                <w:rFonts w:hint="eastAsia" w:ascii="仿宋" w:hAnsi="仿宋" w:eastAsia="仿宋" w:cs="仿宋"/>
                <w:b/>
                <w:bCs/>
                <w:color w:val="auto"/>
                <w:sz w:val="28"/>
                <w:szCs w:val="28"/>
                <w:highlight w:val="none"/>
                <w:lang w:val="en-US" w:eastAsia="zh-CN"/>
              </w:rPr>
              <w:t>参考</w:t>
            </w:r>
            <w:r>
              <w:rPr>
                <w:rFonts w:hint="eastAsia" w:ascii="仿宋" w:hAnsi="仿宋" w:eastAsia="仿宋" w:cs="仿宋"/>
                <w:b/>
                <w:bCs/>
                <w:color w:val="auto"/>
                <w:sz w:val="28"/>
                <w:szCs w:val="28"/>
                <w:highlight w:val="none"/>
              </w:rPr>
              <w:t>基准价（即基准价=3个市场抽样价格之和÷3，计算结果四舍五入保留两位小数）。</w:t>
            </w:r>
            <w:r>
              <w:rPr>
                <w:rFonts w:hint="eastAsia" w:ascii="仿宋" w:hAnsi="仿宋" w:eastAsia="仿宋" w:cs="仿宋"/>
                <w:b/>
                <w:bCs/>
                <w:color w:val="auto"/>
                <w:sz w:val="28"/>
                <w:szCs w:val="28"/>
                <w:highlight w:val="none"/>
                <w:lang w:eastAsia="zh-CN"/>
              </w:rPr>
              <w:t>（</w:t>
            </w:r>
            <w:r>
              <w:rPr>
                <w:rFonts w:hint="eastAsia" w:ascii="仿宋" w:hAnsi="仿宋" w:eastAsia="仿宋" w:cs="仿宋"/>
                <w:b/>
                <w:bCs/>
                <w:color w:val="auto"/>
                <w:sz w:val="28"/>
                <w:szCs w:val="28"/>
                <w:highlight w:val="none"/>
                <w:lang w:val="en-US" w:eastAsia="zh-CN"/>
              </w:rPr>
              <w:t>3</w:t>
            </w:r>
            <w:r>
              <w:rPr>
                <w:rFonts w:hint="eastAsia" w:ascii="仿宋" w:hAnsi="仿宋" w:eastAsia="仿宋" w:cs="仿宋"/>
                <w:b/>
                <w:bCs/>
                <w:color w:val="auto"/>
                <w:sz w:val="28"/>
                <w:szCs w:val="28"/>
                <w:highlight w:val="none"/>
                <w:lang w:eastAsia="zh-CN"/>
              </w:rPr>
              <w:t>）</w:t>
            </w:r>
            <w:r>
              <w:rPr>
                <w:rFonts w:hint="eastAsia" w:ascii="仿宋" w:hAnsi="仿宋" w:eastAsia="仿宋" w:cs="仿宋"/>
                <w:b/>
                <w:bCs/>
                <w:color w:val="auto"/>
                <w:sz w:val="28"/>
                <w:szCs w:val="28"/>
                <w:highlight w:val="none"/>
                <w:lang w:val="en-US" w:eastAsia="zh-CN"/>
              </w:rPr>
              <w:t>实际结算基准价，取上述两个参考基准价中较低的为结算基准价；《东莞市菜篮子价格监测表》无采购人所需货品的，则按上文（2）条款约定的方式确定结算基准价。</w:t>
            </w:r>
          </w:p>
          <w:p w14:paraId="28EFD621">
            <w:pPr>
              <w:pStyle w:val="16"/>
              <w:keepNext w:val="0"/>
              <w:keepLines w:val="0"/>
              <w:pageBreakBefore w:val="0"/>
              <w:widowControl/>
              <w:kinsoku/>
              <w:wordWrap w:val="0"/>
              <w:overflowPunct/>
              <w:topLinePunct w:val="0"/>
              <w:autoSpaceDE/>
              <w:autoSpaceDN/>
              <w:bidi w:val="0"/>
              <w:adjustRightInd/>
              <w:snapToGrid/>
              <w:spacing w:line="360" w:lineRule="auto"/>
              <w:jc w:val="left"/>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2、结算价格确定：结算价格=</w:t>
            </w:r>
            <w:r>
              <w:rPr>
                <w:rFonts w:hint="eastAsia" w:ascii="仿宋" w:hAnsi="仿宋" w:eastAsia="仿宋" w:cs="仿宋"/>
                <w:b/>
                <w:bCs/>
                <w:color w:val="auto"/>
                <w:sz w:val="28"/>
                <w:szCs w:val="28"/>
                <w:highlight w:val="none"/>
                <w:lang w:val="en-US" w:eastAsia="zh-CN"/>
              </w:rPr>
              <w:t>结算基准价</w:t>
            </w:r>
            <w:r>
              <w:rPr>
                <w:rFonts w:hint="eastAsia" w:ascii="仿宋" w:hAnsi="仿宋" w:eastAsia="仿宋" w:cs="仿宋"/>
                <w:b/>
                <w:bCs/>
                <w:color w:val="auto"/>
                <w:sz w:val="28"/>
                <w:szCs w:val="28"/>
                <w:highlight w:val="none"/>
              </w:rPr>
              <w:t>×</w:t>
            </w:r>
            <w:r>
              <w:rPr>
                <w:rFonts w:hint="eastAsia" w:ascii="仿宋" w:hAnsi="仿宋" w:eastAsia="仿宋" w:cs="仿宋"/>
                <w:b/>
                <w:bCs/>
                <w:color w:val="auto"/>
                <w:sz w:val="28"/>
                <w:szCs w:val="28"/>
                <w:highlight w:val="none"/>
                <w:lang w:val="en-US" w:eastAsia="zh-CN"/>
              </w:rPr>
              <w:t>中标</w:t>
            </w:r>
            <w:r>
              <w:rPr>
                <w:rFonts w:hint="eastAsia" w:ascii="仿宋" w:hAnsi="仿宋" w:eastAsia="仿宋" w:cs="仿宋"/>
                <w:b/>
                <w:bCs/>
                <w:color w:val="auto"/>
                <w:sz w:val="28"/>
                <w:szCs w:val="28"/>
                <w:highlight w:val="none"/>
                <w:lang w:eastAsia="zh-CN"/>
              </w:rPr>
              <w:t>折扣</w:t>
            </w:r>
            <w:r>
              <w:rPr>
                <w:rFonts w:hint="eastAsia" w:ascii="仿宋" w:hAnsi="仿宋" w:eastAsia="仿宋" w:cs="仿宋"/>
                <w:b/>
                <w:bCs/>
                <w:color w:val="auto"/>
                <w:sz w:val="28"/>
                <w:szCs w:val="28"/>
                <w:highlight w:val="none"/>
              </w:rPr>
              <w:t>（例：当</w:t>
            </w:r>
            <w:r>
              <w:rPr>
                <w:rFonts w:hint="eastAsia" w:ascii="仿宋" w:hAnsi="仿宋" w:eastAsia="仿宋" w:cs="仿宋"/>
                <w:b/>
                <w:bCs/>
                <w:color w:val="auto"/>
                <w:sz w:val="28"/>
                <w:szCs w:val="28"/>
                <w:highlight w:val="none"/>
                <w:lang w:val="en-US" w:eastAsia="zh-CN"/>
              </w:rPr>
              <w:t>结算基准价</w:t>
            </w:r>
            <w:r>
              <w:rPr>
                <w:rFonts w:hint="eastAsia" w:ascii="仿宋" w:hAnsi="仿宋" w:eastAsia="仿宋" w:cs="仿宋"/>
                <w:b/>
                <w:bCs/>
                <w:color w:val="auto"/>
                <w:sz w:val="28"/>
                <w:szCs w:val="28"/>
                <w:highlight w:val="none"/>
              </w:rPr>
              <w:t>为10.00元，</w:t>
            </w:r>
            <w:r>
              <w:rPr>
                <w:rFonts w:hint="eastAsia" w:ascii="仿宋" w:hAnsi="仿宋" w:eastAsia="仿宋" w:cs="仿宋"/>
                <w:b/>
                <w:bCs/>
                <w:color w:val="auto"/>
                <w:sz w:val="28"/>
                <w:szCs w:val="28"/>
                <w:highlight w:val="none"/>
                <w:lang w:val="en-US" w:eastAsia="zh-CN"/>
              </w:rPr>
              <w:t>中标</w:t>
            </w:r>
            <w:r>
              <w:rPr>
                <w:rFonts w:hint="eastAsia" w:ascii="仿宋" w:hAnsi="仿宋" w:eastAsia="仿宋" w:cs="仿宋"/>
                <w:b/>
                <w:bCs/>
                <w:color w:val="auto"/>
                <w:sz w:val="28"/>
                <w:szCs w:val="28"/>
                <w:highlight w:val="none"/>
                <w:lang w:eastAsia="zh-CN"/>
              </w:rPr>
              <w:t>折扣</w:t>
            </w:r>
            <w:r>
              <w:rPr>
                <w:rFonts w:hint="eastAsia" w:ascii="仿宋" w:hAnsi="仿宋" w:eastAsia="仿宋" w:cs="仿宋"/>
                <w:b/>
                <w:bCs/>
                <w:color w:val="auto"/>
                <w:sz w:val="28"/>
                <w:szCs w:val="28"/>
                <w:highlight w:val="none"/>
              </w:rPr>
              <w:t>为</w:t>
            </w:r>
            <w:r>
              <w:rPr>
                <w:rFonts w:hint="eastAsia" w:ascii="仿宋" w:hAnsi="仿宋" w:eastAsia="仿宋" w:cs="仿宋"/>
                <w:b/>
                <w:bCs/>
                <w:color w:val="auto"/>
                <w:sz w:val="28"/>
                <w:szCs w:val="28"/>
                <w:highlight w:val="none"/>
                <w:lang w:val="en-US" w:eastAsia="zh-CN"/>
              </w:rPr>
              <w:t>8</w:t>
            </w:r>
            <w:r>
              <w:rPr>
                <w:rFonts w:hint="eastAsia" w:ascii="仿宋" w:hAnsi="仿宋" w:eastAsia="仿宋" w:cs="仿宋"/>
                <w:b/>
                <w:bCs/>
                <w:color w:val="auto"/>
                <w:sz w:val="28"/>
                <w:szCs w:val="28"/>
                <w:highlight w:val="none"/>
              </w:rPr>
              <w:t>7.00%时，结算价格=10.00元×</w:t>
            </w:r>
            <w:r>
              <w:rPr>
                <w:rFonts w:hint="eastAsia" w:ascii="仿宋" w:hAnsi="仿宋" w:eastAsia="仿宋" w:cs="仿宋"/>
                <w:b/>
                <w:bCs/>
                <w:color w:val="auto"/>
                <w:sz w:val="28"/>
                <w:szCs w:val="28"/>
                <w:highlight w:val="none"/>
                <w:lang w:val="en-US" w:eastAsia="zh-CN"/>
              </w:rPr>
              <w:t>8</w:t>
            </w:r>
            <w:r>
              <w:rPr>
                <w:rFonts w:hint="eastAsia" w:ascii="仿宋" w:hAnsi="仿宋" w:eastAsia="仿宋" w:cs="仿宋"/>
                <w:b/>
                <w:bCs/>
                <w:color w:val="auto"/>
                <w:sz w:val="28"/>
                <w:szCs w:val="28"/>
                <w:highlight w:val="none"/>
              </w:rPr>
              <w:t>7.00%=</w:t>
            </w:r>
            <w:r>
              <w:rPr>
                <w:rFonts w:hint="eastAsia" w:ascii="仿宋" w:hAnsi="仿宋" w:eastAsia="仿宋" w:cs="仿宋"/>
                <w:b/>
                <w:bCs/>
                <w:color w:val="auto"/>
                <w:sz w:val="28"/>
                <w:szCs w:val="28"/>
                <w:highlight w:val="none"/>
                <w:lang w:val="en-US" w:eastAsia="zh-CN"/>
              </w:rPr>
              <w:t>8</w:t>
            </w:r>
            <w:r>
              <w:rPr>
                <w:rFonts w:hint="eastAsia" w:ascii="仿宋" w:hAnsi="仿宋" w:eastAsia="仿宋" w:cs="仿宋"/>
                <w:b/>
                <w:bCs/>
                <w:color w:val="auto"/>
                <w:sz w:val="28"/>
                <w:szCs w:val="28"/>
                <w:highlight w:val="none"/>
              </w:rPr>
              <w:t>.70元）；</w:t>
            </w:r>
          </w:p>
          <w:p w14:paraId="2476EBC6">
            <w:pPr>
              <w:pStyle w:val="16"/>
              <w:keepNext w:val="0"/>
              <w:keepLines w:val="0"/>
              <w:pageBreakBefore w:val="0"/>
              <w:widowControl/>
              <w:kinsoku/>
              <w:wordWrap w:val="0"/>
              <w:overflowPunct/>
              <w:topLinePunct w:val="0"/>
              <w:autoSpaceDE/>
              <w:autoSpaceDN/>
              <w:bidi w:val="0"/>
              <w:adjustRightInd/>
              <w:snapToGrid/>
              <w:spacing w:line="360" w:lineRule="auto"/>
              <w:jc w:val="left"/>
              <w:textAlignment w:val="auto"/>
              <w:rPr>
                <w:rFonts w:hint="default"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3、本采购包结算基准价每月调整2次，中标人须按上述基准价格确定的原则分别在每月25日前将下一月度上半月、每月10日前将本月下半月的食材基准价及报价以书面的形式递交至采购人处审核，经双方确认后实施。除合同另有约定外，双方可以协商重新定价，否则一经定价，双方不得以任何理由加价或减价。</w:t>
            </w:r>
          </w:p>
          <w:p w14:paraId="76589A10">
            <w:pPr>
              <w:pStyle w:val="16"/>
              <w:keepNext w:val="0"/>
              <w:keepLines w:val="0"/>
              <w:pageBreakBefore w:val="0"/>
              <w:widowControl/>
              <w:kinsoku/>
              <w:wordWrap w:val="0"/>
              <w:overflowPunct/>
              <w:topLinePunct w:val="0"/>
              <w:autoSpaceDE/>
              <w:autoSpaceDN/>
              <w:bidi w:val="0"/>
              <w:adjustRightInd/>
              <w:snapToGrid/>
              <w:spacing w:line="360" w:lineRule="auto"/>
              <w:jc w:val="left"/>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lang w:val="en-US" w:eastAsia="zh-CN"/>
              </w:rPr>
              <w:t>4</w:t>
            </w:r>
            <w:r>
              <w:rPr>
                <w:rFonts w:hint="eastAsia" w:ascii="仿宋" w:hAnsi="仿宋" w:eastAsia="仿宋" w:cs="仿宋"/>
                <w:b/>
                <w:bCs/>
                <w:color w:val="auto"/>
                <w:sz w:val="28"/>
                <w:szCs w:val="28"/>
                <w:highlight w:val="none"/>
              </w:rPr>
              <w:t>、采购人在本合同项下支付的全部价款为含增值税金额，采购人不再另行向中标人支付增值税及相关附加税费。</w:t>
            </w:r>
          </w:p>
        </w:tc>
      </w:tr>
      <w:tr w14:paraId="3E90D4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9" w:type="pct"/>
        </w:trPr>
        <w:tc>
          <w:tcPr>
            <w:tcW w:w="467" w:type="pct"/>
            <w:vAlign w:val="center"/>
          </w:tcPr>
          <w:p w14:paraId="410D4698">
            <w:pPr>
              <w:pStyle w:val="16"/>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w:t>
            </w:r>
          </w:p>
        </w:tc>
        <w:tc>
          <w:tcPr>
            <w:tcW w:w="463" w:type="pct"/>
            <w:vAlign w:val="center"/>
          </w:tcPr>
          <w:p w14:paraId="29BE2E95">
            <w:pPr>
              <w:pStyle w:val="16"/>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2</w:t>
            </w:r>
          </w:p>
        </w:tc>
        <w:tc>
          <w:tcPr>
            <w:tcW w:w="578" w:type="pct"/>
            <w:vAlign w:val="center"/>
          </w:tcPr>
          <w:p w14:paraId="71B31D1C">
            <w:pPr>
              <w:pStyle w:val="16"/>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项目规模</w:t>
            </w:r>
          </w:p>
        </w:tc>
        <w:tc>
          <w:tcPr>
            <w:tcW w:w="3481" w:type="pct"/>
            <w:vAlign w:val="top"/>
          </w:tcPr>
          <w:p w14:paraId="4C40510F">
            <w:pPr>
              <w:pStyle w:val="16"/>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b/>
                <w:bCs/>
                <w:color w:val="auto"/>
                <w:sz w:val="28"/>
                <w:szCs w:val="28"/>
                <w:highlight w:val="none"/>
                <w:lang w:eastAsia="zh-CN"/>
              </w:rPr>
            </w:pPr>
            <w:r>
              <w:rPr>
                <w:rFonts w:hint="eastAsia" w:ascii="仿宋" w:hAnsi="仿宋" w:eastAsia="仿宋" w:cs="仿宋"/>
                <w:b/>
                <w:bCs/>
                <w:color w:val="auto"/>
                <w:sz w:val="28"/>
                <w:szCs w:val="28"/>
                <w:highlight w:val="none"/>
              </w:rPr>
              <w:t>1、本</w:t>
            </w:r>
            <w:r>
              <w:rPr>
                <w:rFonts w:hint="eastAsia" w:ascii="仿宋" w:hAnsi="仿宋" w:eastAsia="仿宋" w:cs="仿宋"/>
                <w:b/>
                <w:bCs/>
                <w:color w:val="auto"/>
                <w:sz w:val="28"/>
                <w:szCs w:val="28"/>
                <w:highlight w:val="none"/>
                <w:lang w:val="en-US" w:eastAsia="zh-CN"/>
              </w:rPr>
              <w:t>采购包</w:t>
            </w:r>
            <w:r>
              <w:rPr>
                <w:rFonts w:hint="eastAsia" w:ascii="仿宋" w:hAnsi="仿宋" w:eastAsia="仿宋" w:cs="仿宋"/>
                <w:b/>
                <w:bCs/>
                <w:color w:val="auto"/>
                <w:sz w:val="28"/>
                <w:szCs w:val="28"/>
                <w:highlight w:val="none"/>
              </w:rPr>
              <w:t>合同履约期间采购人向中标人支付服务费用累计达到¥</w:t>
            </w:r>
            <w:r>
              <w:rPr>
                <w:rFonts w:hint="eastAsia" w:ascii="仿宋" w:hAnsi="仿宋" w:eastAsia="仿宋" w:cs="仿宋"/>
                <w:b/>
                <w:bCs/>
                <w:color w:val="auto"/>
                <w:sz w:val="28"/>
                <w:szCs w:val="28"/>
                <w:highlight w:val="none"/>
                <w:lang w:val="en-US" w:eastAsia="zh-CN"/>
              </w:rPr>
              <w:t>5</w:t>
            </w:r>
            <w:r>
              <w:rPr>
                <w:rFonts w:hint="eastAsia" w:ascii="仿宋" w:hAnsi="仿宋" w:eastAsia="仿宋" w:cs="仿宋"/>
                <w:b/>
                <w:bCs/>
                <w:color w:val="auto"/>
                <w:sz w:val="28"/>
                <w:szCs w:val="28"/>
                <w:highlight w:val="none"/>
              </w:rPr>
              <w:t>,</w:t>
            </w:r>
            <w:r>
              <w:rPr>
                <w:rFonts w:hint="eastAsia" w:ascii="仿宋" w:hAnsi="仿宋" w:eastAsia="仿宋" w:cs="仿宋"/>
                <w:b/>
                <w:bCs/>
                <w:color w:val="auto"/>
                <w:sz w:val="28"/>
                <w:szCs w:val="28"/>
                <w:highlight w:val="none"/>
                <w:lang w:val="en-US" w:eastAsia="zh-CN"/>
              </w:rPr>
              <w:t>5</w:t>
            </w:r>
            <w:r>
              <w:rPr>
                <w:rFonts w:hint="eastAsia" w:ascii="仿宋" w:hAnsi="仿宋" w:eastAsia="仿宋" w:cs="仿宋"/>
                <w:b/>
                <w:bCs/>
                <w:color w:val="auto"/>
                <w:sz w:val="28"/>
                <w:szCs w:val="28"/>
                <w:highlight w:val="none"/>
              </w:rPr>
              <w:t>00,000.00（大写：人民币</w:t>
            </w:r>
            <w:r>
              <w:rPr>
                <w:rFonts w:hint="eastAsia" w:ascii="仿宋" w:hAnsi="仿宋" w:eastAsia="仿宋" w:cs="仿宋"/>
                <w:b/>
                <w:bCs/>
                <w:color w:val="auto"/>
                <w:sz w:val="28"/>
                <w:szCs w:val="28"/>
                <w:highlight w:val="none"/>
                <w:lang w:val="en-US" w:eastAsia="zh-CN"/>
              </w:rPr>
              <w:t>伍佰伍拾万元整</w:t>
            </w:r>
            <w:r>
              <w:rPr>
                <w:rFonts w:hint="eastAsia" w:ascii="仿宋" w:hAnsi="仿宋" w:eastAsia="仿宋" w:cs="仿宋"/>
                <w:b/>
                <w:bCs/>
                <w:color w:val="auto"/>
                <w:sz w:val="28"/>
                <w:szCs w:val="28"/>
                <w:highlight w:val="none"/>
              </w:rPr>
              <w:t>）或服务期满</w:t>
            </w:r>
            <w:r>
              <w:rPr>
                <w:rFonts w:hint="eastAsia" w:ascii="仿宋" w:hAnsi="仿宋" w:eastAsia="仿宋" w:cs="仿宋"/>
                <w:b/>
                <w:bCs/>
                <w:color w:val="auto"/>
                <w:sz w:val="28"/>
                <w:szCs w:val="28"/>
                <w:highlight w:val="none"/>
                <w:lang w:val="en-US" w:eastAsia="zh-CN"/>
              </w:rPr>
              <w:t>3</w:t>
            </w:r>
            <w:r>
              <w:rPr>
                <w:rFonts w:hint="eastAsia" w:ascii="仿宋" w:hAnsi="仿宋" w:eastAsia="仿宋" w:cs="仿宋"/>
                <w:b/>
                <w:bCs/>
                <w:color w:val="auto"/>
                <w:sz w:val="28"/>
                <w:szCs w:val="28"/>
                <w:highlight w:val="none"/>
              </w:rPr>
              <w:t>年后，合同终止；本</w:t>
            </w:r>
            <w:r>
              <w:rPr>
                <w:rFonts w:hint="eastAsia" w:ascii="仿宋" w:hAnsi="仿宋" w:eastAsia="仿宋" w:cs="仿宋"/>
                <w:b/>
                <w:bCs/>
                <w:color w:val="auto"/>
                <w:sz w:val="28"/>
                <w:szCs w:val="28"/>
                <w:highlight w:val="none"/>
                <w:lang w:val="en-US" w:eastAsia="zh-CN"/>
              </w:rPr>
              <w:t>采购包</w:t>
            </w:r>
            <w:r>
              <w:rPr>
                <w:rFonts w:hint="eastAsia" w:ascii="仿宋" w:hAnsi="仿宋" w:eastAsia="仿宋" w:cs="仿宋"/>
                <w:b/>
                <w:bCs/>
                <w:color w:val="auto"/>
                <w:sz w:val="28"/>
                <w:szCs w:val="28"/>
                <w:highlight w:val="none"/>
              </w:rPr>
              <w:t>预算金额为预估金额，采购人无法预计也无法保证具体委托的业务数量及金额</w:t>
            </w:r>
            <w:r>
              <w:rPr>
                <w:rFonts w:hint="eastAsia" w:ascii="仿宋" w:hAnsi="仿宋" w:eastAsia="仿宋" w:cs="仿宋"/>
                <w:b/>
                <w:bCs/>
                <w:color w:val="auto"/>
                <w:sz w:val="28"/>
                <w:szCs w:val="28"/>
                <w:highlight w:val="none"/>
                <w:lang w:eastAsia="zh-CN"/>
              </w:rPr>
              <w:t>。</w:t>
            </w:r>
          </w:p>
          <w:p w14:paraId="4F63516A">
            <w:pPr>
              <w:pStyle w:val="16"/>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2、采购人根据《广东省财政厅关于落实2025年政府采购脱贫地区农副产品工作的通知》（粤财采购〔2025〕2号）要求，原则上需要预留总预算一定金额向脱贫认定单位供货商采购，中标人必须无条件配合。</w:t>
            </w:r>
          </w:p>
          <w:p w14:paraId="2FD9B365">
            <w:pPr>
              <w:pStyle w:val="16"/>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注：中标人不得以上述条款为由拒绝履行合同约定的义务，否则采购人有权解除合同并追究中标人违约责任。（投标人须针对上述条款提供承诺函并加盖投标人公章，承诺函格式自拟）</w:t>
            </w:r>
          </w:p>
        </w:tc>
      </w:tr>
      <w:tr w14:paraId="223840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9" w:type="pct"/>
        </w:trPr>
        <w:tc>
          <w:tcPr>
            <w:tcW w:w="467" w:type="pct"/>
            <w:vAlign w:val="center"/>
          </w:tcPr>
          <w:p w14:paraId="5909F9D8">
            <w:pPr>
              <w:pStyle w:val="16"/>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w:t>
            </w:r>
          </w:p>
        </w:tc>
        <w:tc>
          <w:tcPr>
            <w:tcW w:w="463" w:type="pct"/>
            <w:vAlign w:val="center"/>
          </w:tcPr>
          <w:p w14:paraId="71B376AA">
            <w:pPr>
              <w:pStyle w:val="16"/>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3</w:t>
            </w:r>
          </w:p>
        </w:tc>
        <w:tc>
          <w:tcPr>
            <w:tcW w:w="578" w:type="pct"/>
            <w:vAlign w:val="center"/>
          </w:tcPr>
          <w:p w14:paraId="20AC500C">
            <w:pPr>
              <w:pStyle w:val="16"/>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保险要求</w:t>
            </w:r>
          </w:p>
        </w:tc>
        <w:tc>
          <w:tcPr>
            <w:tcW w:w="3481" w:type="pct"/>
            <w:vAlign w:val="top"/>
          </w:tcPr>
          <w:p w14:paraId="2740253A">
            <w:pPr>
              <w:pStyle w:val="16"/>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因本项目为食材配送服务，可能因疏忽或过失致使食物中毒或其他食源性疾患或因食物中掺有异物，造成人身损害或财产损失，为保证采购人权益，中标人须以承诺函形式承诺</w:t>
            </w:r>
            <w:r>
              <w:rPr>
                <w:rFonts w:hint="eastAsia" w:ascii="仿宋" w:hAnsi="仿宋" w:eastAsia="仿宋" w:cs="仿宋"/>
                <w:b/>
                <w:bCs/>
                <w:color w:val="auto"/>
                <w:sz w:val="28"/>
                <w:szCs w:val="28"/>
                <w:highlight w:val="none"/>
                <w:lang w:eastAsia="zh-CN"/>
              </w:rPr>
              <w:t>：</w:t>
            </w:r>
            <w:r>
              <w:rPr>
                <w:rFonts w:hint="eastAsia" w:ascii="仿宋" w:hAnsi="仿宋" w:eastAsia="仿宋" w:cs="仿宋"/>
                <w:b/>
                <w:bCs/>
                <w:color w:val="auto"/>
                <w:sz w:val="28"/>
                <w:szCs w:val="28"/>
                <w:highlight w:val="none"/>
              </w:rPr>
              <w:t>中标后为采购人提供一份以采购人为受益人、</w:t>
            </w:r>
            <w:r>
              <w:rPr>
                <w:rFonts w:hint="eastAsia" w:ascii="仿宋" w:hAnsi="仿宋" w:eastAsia="仿宋" w:cs="仿宋"/>
                <w:b/>
                <w:bCs/>
                <w:color w:val="auto"/>
                <w:sz w:val="28"/>
                <w:szCs w:val="28"/>
                <w:highlight w:val="none"/>
                <w:lang w:val="en-US" w:eastAsia="zh-CN"/>
              </w:rPr>
              <w:t>保险</w:t>
            </w:r>
            <w:r>
              <w:rPr>
                <w:rFonts w:hint="eastAsia" w:ascii="仿宋" w:hAnsi="仿宋" w:eastAsia="仿宋" w:cs="仿宋"/>
                <w:b/>
                <w:bCs/>
                <w:color w:val="auto"/>
                <w:sz w:val="28"/>
                <w:szCs w:val="28"/>
                <w:highlight w:val="none"/>
              </w:rPr>
              <w:t>额度</w:t>
            </w:r>
            <w:r>
              <w:rPr>
                <w:rFonts w:hint="eastAsia" w:ascii="仿宋" w:hAnsi="仿宋" w:eastAsia="仿宋" w:cs="仿宋"/>
                <w:b/>
                <w:bCs/>
                <w:color w:val="auto"/>
                <w:sz w:val="28"/>
                <w:szCs w:val="28"/>
                <w:highlight w:val="none"/>
                <w:lang w:val="en-US" w:eastAsia="zh-CN"/>
              </w:rPr>
              <w:t>≥¥5,500,000.00（大写：人民币伍佰伍拾万元整）</w:t>
            </w:r>
            <w:r>
              <w:rPr>
                <w:rFonts w:hint="eastAsia" w:ascii="仿宋" w:hAnsi="仿宋" w:eastAsia="仿宋" w:cs="仿宋"/>
                <w:b/>
                <w:bCs/>
                <w:color w:val="auto"/>
                <w:sz w:val="28"/>
                <w:szCs w:val="28"/>
                <w:highlight w:val="none"/>
              </w:rPr>
              <w:t>的食品安全责任险，保险期限不短于</w:t>
            </w:r>
            <w:r>
              <w:rPr>
                <w:rFonts w:hint="eastAsia" w:ascii="仿宋" w:hAnsi="仿宋" w:eastAsia="仿宋" w:cs="仿宋"/>
                <w:b/>
                <w:bCs/>
                <w:color w:val="auto"/>
                <w:sz w:val="28"/>
                <w:szCs w:val="28"/>
                <w:highlight w:val="none"/>
                <w:lang w:val="en-US" w:eastAsia="zh-CN"/>
              </w:rPr>
              <w:t>本项目</w:t>
            </w:r>
            <w:r>
              <w:rPr>
                <w:rFonts w:hint="eastAsia" w:ascii="仿宋" w:hAnsi="仿宋" w:eastAsia="仿宋" w:cs="仿宋"/>
                <w:b/>
                <w:bCs/>
                <w:color w:val="auto"/>
                <w:sz w:val="28"/>
                <w:szCs w:val="28"/>
                <w:highlight w:val="none"/>
              </w:rPr>
              <w:t>合同</w:t>
            </w:r>
            <w:r>
              <w:rPr>
                <w:rFonts w:hint="eastAsia" w:ascii="仿宋" w:hAnsi="仿宋" w:eastAsia="仿宋" w:cs="仿宋"/>
                <w:b/>
                <w:bCs/>
                <w:color w:val="auto"/>
                <w:sz w:val="28"/>
                <w:szCs w:val="28"/>
                <w:highlight w:val="none"/>
                <w:lang w:val="en-US" w:eastAsia="zh-CN"/>
              </w:rPr>
              <w:t>服务</w:t>
            </w:r>
            <w:r>
              <w:rPr>
                <w:rFonts w:hint="eastAsia" w:ascii="仿宋" w:hAnsi="仿宋" w:eastAsia="仿宋" w:cs="仿宋"/>
                <w:b/>
                <w:bCs/>
                <w:color w:val="auto"/>
                <w:sz w:val="28"/>
                <w:szCs w:val="28"/>
                <w:highlight w:val="none"/>
              </w:rPr>
              <w:t>期</w:t>
            </w:r>
            <w:r>
              <w:rPr>
                <w:rFonts w:hint="eastAsia" w:ascii="仿宋" w:hAnsi="仿宋" w:eastAsia="仿宋" w:cs="仿宋"/>
                <w:b/>
                <w:bCs/>
                <w:color w:val="auto"/>
                <w:sz w:val="28"/>
                <w:szCs w:val="28"/>
                <w:highlight w:val="none"/>
                <w:lang w:eastAsia="zh-CN"/>
              </w:rPr>
              <w:t>，</w:t>
            </w:r>
            <w:r>
              <w:rPr>
                <w:rFonts w:hint="eastAsia" w:ascii="仿宋" w:hAnsi="仿宋" w:eastAsia="仿宋" w:cs="仿宋"/>
                <w:b/>
                <w:bCs/>
                <w:color w:val="auto"/>
                <w:sz w:val="28"/>
                <w:szCs w:val="28"/>
                <w:highlight w:val="none"/>
                <w:lang w:val="en-US" w:eastAsia="zh-CN"/>
              </w:rPr>
              <w:t>本项目合同签订后须将</w:t>
            </w:r>
            <w:r>
              <w:rPr>
                <w:rFonts w:hint="eastAsia" w:ascii="仿宋" w:hAnsi="仿宋" w:eastAsia="仿宋" w:cs="仿宋"/>
                <w:b/>
                <w:bCs/>
                <w:color w:val="auto"/>
                <w:sz w:val="28"/>
                <w:szCs w:val="28"/>
                <w:highlight w:val="none"/>
              </w:rPr>
              <w:t>保单</w:t>
            </w:r>
            <w:r>
              <w:rPr>
                <w:rFonts w:hint="eastAsia" w:ascii="仿宋" w:hAnsi="仿宋" w:eastAsia="仿宋" w:cs="仿宋"/>
                <w:b/>
                <w:bCs/>
                <w:color w:val="auto"/>
                <w:sz w:val="28"/>
                <w:szCs w:val="28"/>
                <w:highlight w:val="none"/>
                <w:lang w:val="en-US" w:eastAsia="zh-CN"/>
              </w:rPr>
              <w:t>递交至</w:t>
            </w:r>
            <w:r>
              <w:rPr>
                <w:rFonts w:hint="eastAsia" w:ascii="仿宋" w:hAnsi="仿宋" w:eastAsia="仿宋" w:cs="仿宋"/>
                <w:b/>
                <w:bCs/>
                <w:color w:val="auto"/>
                <w:sz w:val="28"/>
                <w:szCs w:val="28"/>
                <w:highlight w:val="none"/>
              </w:rPr>
              <w:t>采购人</w:t>
            </w:r>
            <w:r>
              <w:rPr>
                <w:rFonts w:hint="eastAsia" w:ascii="仿宋" w:hAnsi="仿宋" w:eastAsia="仿宋" w:cs="仿宋"/>
                <w:b/>
                <w:bCs/>
                <w:color w:val="auto"/>
                <w:sz w:val="28"/>
                <w:szCs w:val="28"/>
                <w:highlight w:val="none"/>
                <w:lang w:val="en-US" w:eastAsia="zh-CN"/>
              </w:rPr>
              <w:t>处存档待查</w:t>
            </w:r>
            <w:r>
              <w:rPr>
                <w:rFonts w:hint="eastAsia" w:ascii="仿宋" w:hAnsi="仿宋" w:eastAsia="仿宋" w:cs="仿宋"/>
                <w:b/>
                <w:bCs/>
                <w:color w:val="auto"/>
                <w:sz w:val="28"/>
                <w:szCs w:val="28"/>
                <w:highlight w:val="none"/>
              </w:rPr>
              <w:t>。（投标人须提供承诺函加盖投标人公章，承诺函格式自拟）</w:t>
            </w:r>
          </w:p>
        </w:tc>
      </w:tr>
      <w:tr w14:paraId="7B219F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9" w:type="pct"/>
        </w:trPr>
        <w:tc>
          <w:tcPr>
            <w:tcW w:w="467" w:type="pct"/>
            <w:vAlign w:val="center"/>
          </w:tcPr>
          <w:p w14:paraId="4CFDFD1D">
            <w:pPr>
              <w:pStyle w:val="16"/>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w:t>
            </w:r>
          </w:p>
        </w:tc>
        <w:tc>
          <w:tcPr>
            <w:tcW w:w="463" w:type="pct"/>
            <w:vAlign w:val="center"/>
          </w:tcPr>
          <w:p w14:paraId="4E2B12E2">
            <w:pPr>
              <w:pStyle w:val="16"/>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4</w:t>
            </w:r>
          </w:p>
        </w:tc>
        <w:tc>
          <w:tcPr>
            <w:tcW w:w="578" w:type="pct"/>
            <w:vAlign w:val="center"/>
          </w:tcPr>
          <w:p w14:paraId="1CD29694">
            <w:pPr>
              <w:pStyle w:val="16"/>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报价说明</w:t>
            </w:r>
          </w:p>
        </w:tc>
        <w:tc>
          <w:tcPr>
            <w:tcW w:w="3481" w:type="pct"/>
            <w:vAlign w:val="top"/>
          </w:tcPr>
          <w:p w14:paraId="12834DE4">
            <w:pPr>
              <w:pStyle w:val="16"/>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本</w:t>
            </w:r>
            <w:r>
              <w:rPr>
                <w:rFonts w:hint="eastAsia" w:ascii="仿宋" w:hAnsi="仿宋" w:eastAsia="仿宋" w:cs="仿宋"/>
                <w:b/>
                <w:bCs/>
                <w:color w:val="auto"/>
                <w:sz w:val="28"/>
                <w:szCs w:val="28"/>
                <w:highlight w:val="none"/>
                <w:lang w:val="en-US" w:eastAsia="zh-CN"/>
              </w:rPr>
              <w:t>采购包</w:t>
            </w:r>
            <w:r>
              <w:rPr>
                <w:rFonts w:hint="eastAsia" w:ascii="仿宋" w:hAnsi="仿宋" w:eastAsia="仿宋" w:cs="仿宋"/>
                <w:b/>
                <w:bCs/>
                <w:color w:val="auto"/>
                <w:sz w:val="28"/>
                <w:szCs w:val="28"/>
                <w:highlight w:val="none"/>
              </w:rPr>
              <w:t>报价为</w:t>
            </w:r>
            <w:r>
              <w:rPr>
                <w:rFonts w:hint="eastAsia" w:ascii="仿宋" w:hAnsi="仿宋" w:eastAsia="仿宋" w:cs="仿宋"/>
                <w:b/>
                <w:bCs/>
                <w:color w:val="auto"/>
                <w:sz w:val="28"/>
                <w:szCs w:val="28"/>
                <w:highlight w:val="none"/>
                <w:lang w:eastAsia="zh-CN"/>
              </w:rPr>
              <w:t>折扣</w:t>
            </w:r>
            <w:r>
              <w:rPr>
                <w:rFonts w:hint="eastAsia" w:ascii="仿宋" w:hAnsi="仿宋" w:eastAsia="仿宋" w:cs="仿宋"/>
                <w:b/>
                <w:bCs/>
                <w:color w:val="auto"/>
                <w:sz w:val="28"/>
                <w:szCs w:val="28"/>
                <w:highlight w:val="none"/>
              </w:rPr>
              <w:t>报价，</w:t>
            </w:r>
            <w:r>
              <w:rPr>
                <w:rFonts w:hint="eastAsia" w:ascii="仿宋" w:hAnsi="仿宋" w:eastAsia="仿宋" w:cs="仿宋"/>
                <w:b/>
                <w:bCs/>
                <w:color w:val="auto"/>
                <w:sz w:val="28"/>
                <w:szCs w:val="28"/>
                <w:highlight w:val="none"/>
                <w:lang w:eastAsia="zh-CN"/>
              </w:rPr>
              <w:t>折扣</w:t>
            </w:r>
            <w:r>
              <w:rPr>
                <w:rFonts w:hint="eastAsia" w:ascii="仿宋" w:hAnsi="仿宋" w:eastAsia="仿宋" w:cs="仿宋"/>
                <w:b/>
                <w:bCs/>
                <w:color w:val="auto"/>
                <w:sz w:val="28"/>
                <w:szCs w:val="28"/>
                <w:highlight w:val="none"/>
              </w:rPr>
              <w:t>报价范围为：0.00%（不含）-</w:t>
            </w:r>
            <w:r>
              <w:rPr>
                <w:rFonts w:hint="eastAsia" w:ascii="仿宋" w:hAnsi="仿宋" w:eastAsia="仿宋" w:cs="仿宋"/>
                <w:b/>
                <w:bCs/>
                <w:color w:val="auto"/>
                <w:sz w:val="28"/>
                <w:szCs w:val="28"/>
                <w:highlight w:val="none"/>
                <w:lang w:val="en-US" w:eastAsia="zh-CN"/>
              </w:rPr>
              <w:t>9</w:t>
            </w:r>
            <w:r>
              <w:rPr>
                <w:rFonts w:hint="eastAsia" w:ascii="仿宋" w:hAnsi="仿宋" w:eastAsia="仿宋" w:cs="仿宋"/>
                <w:b/>
                <w:bCs/>
                <w:color w:val="auto"/>
                <w:sz w:val="28"/>
                <w:szCs w:val="28"/>
                <w:highlight w:val="none"/>
              </w:rPr>
              <w:t>0.00%（含）。报价（</w:t>
            </w:r>
            <w:r>
              <w:rPr>
                <w:rFonts w:hint="eastAsia" w:ascii="仿宋" w:hAnsi="仿宋" w:eastAsia="仿宋" w:cs="仿宋"/>
                <w:b/>
                <w:bCs/>
                <w:color w:val="auto"/>
                <w:sz w:val="28"/>
                <w:szCs w:val="28"/>
                <w:highlight w:val="none"/>
                <w:lang w:eastAsia="zh-CN"/>
              </w:rPr>
              <w:t>折扣</w:t>
            </w:r>
            <w:r>
              <w:rPr>
                <w:rFonts w:hint="eastAsia" w:ascii="仿宋" w:hAnsi="仿宋" w:eastAsia="仿宋" w:cs="仿宋"/>
                <w:b/>
                <w:bCs/>
                <w:color w:val="auto"/>
                <w:sz w:val="28"/>
                <w:szCs w:val="28"/>
                <w:highlight w:val="none"/>
              </w:rPr>
              <w:t>）应包含完成本</w:t>
            </w:r>
            <w:r>
              <w:rPr>
                <w:rFonts w:hint="eastAsia" w:ascii="仿宋" w:hAnsi="仿宋" w:eastAsia="仿宋" w:cs="仿宋"/>
                <w:b/>
                <w:bCs/>
                <w:color w:val="auto"/>
                <w:sz w:val="28"/>
                <w:szCs w:val="28"/>
                <w:highlight w:val="none"/>
                <w:lang w:val="en-US" w:eastAsia="zh-CN"/>
              </w:rPr>
              <w:t>采购包</w:t>
            </w:r>
            <w:r>
              <w:rPr>
                <w:rFonts w:hint="eastAsia" w:ascii="仿宋" w:hAnsi="仿宋" w:eastAsia="仿宋" w:cs="仿宋"/>
                <w:b/>
                <w:bCs/>
                <w:color w:val="auto"/>
                <w:sz w:val="28"/>
                <w:szCs w:val="28"/>
                <w:highlight w:val="none"/>
              </w:rPr>
              <w:t>所有服务内容的费用，包括但不限于购货或自产养种植成本、包装配送运输、保险、装卸服务、粗加工、退换、雇员费用、质保期售后服务、全额含税发票、合同实施过程中的应预见和不可预见费用等。中标人必须充分考虑</w:t>
            </w:r>
            <w:r>
              <w:rPr>
                <w:rFonts w:hint="eastAsia" w:ascii="仿宋" w:hAnsi="仿宋" w:eastAsia="仿宋" w:cs="仿宋"/>
                <w:b/>
                <w:bCs/>
                <w:color w:val="auto"/>
                <w:sz w:val="28"/>
                <w:szCs w:val="28"/>
                <w:highlight w:val="none"/>
                <w:lang w:val="en-US" w:eastAsia="zh-CN"/>
              </w:rPr>
              <w:t>履约</w:t>
            </w:r>
            <w:r>
              <w:rPr>
                <w:rFonts w:hint="eastAsia" w:ascii="仿宋" w:hAnsi="仿宋" w:eastAsia="仿宋" w:cs="仿宋"/>
                <w:b/>
                <w:bCs/>
                <w:color w:val="auto"/>
                <w:sz w:val="28"/>
                <w:szCs w:val="28"/>
                <w:highlight w:val="none"/>
              </w:rPr>
              <w:t>期间的一切可能产生的风险和相关费用，采购人将拒绝支付合同约定货款之外的任何费用和补偿。</w:t>
            </w:r>
          </w:p>
        </w:tc>
      </w:tr>
      <w:tr w14:paraId="26C438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30" w:type="pct"/>
            <w:gridSpan w:val="2"/>
            <w:vAlign w:val="center"/>
          </w:tcPr>
          <w:p w14:paraId="6B97EC05">
            <w:pPr>
              <w:pStyle w:val="16"/>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说明</w:t>
            </w:r>
          </w:p>
        </w:tc>
        <w:tc>
          <w:tcPr>
            <w:tcW w:w="4069" w:type="pct"/>
            <w:gridSpan w:val="3"/>
          </w:tcPr>
          <w:p w14:paraId="6858B2F6">
            <w:pPr>
              <w:pStyle w:val="16"/>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打“★”号条款为实质性条款，若有任何一条负偏离或不满足则导致投标（响应）无效。</w:t>
            </w:r>
          </w:p>
          <w:p w14:paraId="13CFA947">
            <w:pPr>
              <w:pStyle w:val="16"/>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打“▲”号条款为重要参数（如有），若有部分“▲”条款未响应或不满足，将根据评审要求影响其得分，但不作为无效投标（响应）条款。</w:t>
            </w:r>
          </w:p>
        </w:tc>
      </w:tr>
    </w:tbl>
    <w:p w14:paraId="69C360B6">
      <w:pPr>
        <w:pStyle w:val="16"/>
        <w:spacing w:line="360" w:lineRule="auto"/>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2.技术标准与要求</w:t>
      </w:r>
    </w:p>
    <w:tbl>
      <w:tblPr>
        <w:tblStyle w:val="12"/>
        <w:tblW w:w="4997" w:type="pct"/>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455"/>
        <w:gridCol w:w="814"/>
        <w:gridCol w:w="1433"/>
        <w:gridCol w:w="450"/>
        <w:gridCol w:w="750"/>
        <w:gridCol w:w="1817"/>
        <w:gridCol w:w="1817"/>
        <w:gridCol w:w="701"/>
        <w:gridCol w:w="819"/>
      </w:tblGrid>
      <w:tr w14:paraId="662869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251" w:type="pct"/>
            <w:vAlign w:val="center"/>
          </w:tcPr>
          <w:p w14:paraId="1B08E859">
            <w:pPr>
              <w:pStyle w:val="16"/>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序号</w:t>
            </w:r>
          </w:p>
        </w:tc>
        <w:tc>
          <w:tcPr>
            <w:tcW w:w="449" w:type="pct"/>
            <w:vAlign w:val="center"/>
          </w:tcPr>
          <w:p w14:paraId="7585DAE4">
            <w:pPr>
              <w:pStyle w:val="16"/>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品目名称</w:t>
            </w:r>
          </w:p>
        </w:tc>
        <w:tc>
          <w:tcPr>
            <w:tcW w:w="791" w:type="pct"/>
            <w:vAlign w:val="center"/>
          </w:tcPr>
          <w:p w14:paraId="02714F98">
            <w:pPr>
              <w:pStyle w:val="16"/>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标的名称</w:t>
            </w:r>
          </w:p>
        </w:tc>
        <w:tc>
          <w:tcPr>
            <w:tcW w:w="248" w:type="pct"/>
            <w:vAlign w:val="center"/>
          </w:tcPr>
          <w:p w14:paraId="31F5E9E6">
            <w:pPr>
              <w:pStyle w:val="16"/>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单位</w:t>
            </w:r>
          </w:p>
        </w:tc>
        <w:tc>
          <w:tcPr>
            <w:tcW w:w="414" w:type="pct"/>
            <w:vAlign w:val="center"/>
          </w:tcPr>
          <w:p w14:paraId="57404B6B">
            <w:pPr>
              <w:pStyle w:val="16"/>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数量</w:t>
            </w:r>
          </w:p>
        </w:tc>
        <w:tc>
          <w:tcPr>
            <w:tcW w:w="1003" w:type="pct"/>
            <w:vAlign w:val="center"/>
          </w:tcPr>
          <w:p w14:paraId="66E93D82">
            <w:pPr>
              <w:pStyle w:val="16"/>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分项预算单价（元）</w:t>
            </w:r>
          </w:p>
        </w:tc>
        <w:tc>
          <w:tcPr>
            <w:tcW w:w="1003" w:type="pct"/>
            <w:vAlign w:val="center"/>
          </w:tcPr>
          <w:p w14:paraId="3A36E880">
            <w:pPr>
              <w:pStyle w:val="16"/>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分项预算总价（元）</w:t>
            </w:r>
          </w:p>
        </w:tc>
        <w:tc>
          <w:tcPr>
            <w:tcW w:w="387" w:type="pct"/>
            <w:vAlign w:val="center"/>
          </w:tcPr>
          <w:p w14:paraId="29A6CF2F">
            <w:pPr>
              <w:pStyle w:val="16"/>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所属行业</w:t>
            </w:r>
          </w:p>
        </w:tc>
        <w:tc>
          <w:tcPr>
            <w:tcW w:w="452" w:type="pct"/>
            <w:vAlign w:val="center"/>
          </w:tcPr>
          <w:p w14:paraId="3698D187">
            <w:pPr>
              <w:pStyle w:val="16"/>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技术要求</w:t>
            </w:r>
          </w:p>
        </w:tc>
      </w:tr>
      <w:tr w14:paraId="0D93FF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251" w:type="pct"/>
            <w:vAlign w:val="center"/>
          </w:tcPr>
          <w:p w14:paraId="4727D0C6">
            <w:pPr>
              <w:pStyle w:val="16"/>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p>
        </w:tc>
        <w:tc>
          <w:tcPr>
            <w:tcW w:w="449" w:type="pct"/>
            <w:vAlign w:val="center"/>
          </w:tcPr>
          <w:p w14:paraId="3A9B1E01">
            <w:pPr>
              <w:pStyle w:val="16"/>
              <w:spacing w:line="360" w:lineRule="auto"/>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其他</w:t>
            </w:r>
            <w:r>
              <w:rPr>
                <w:rFonts w:hint="eastAsia" w:ascii="仿宋" w:hAnsi="仿宋" w:eastAsia="仿宋" w:cs="仿宋"/>
                <w:color w:val="auto"/>
                <w:sz w:val="24"/>
                <w:szCs w:val="24"/>
                <w:highlight w:val="none"/>
                <w:lang w:eastAsia="zh-CN"/>
              </w:rPr>
              <w:t>批发服务</w:t>
            </w:r>
          </w:p>
        </w:tc>
        <w:tc>
          <w:tcPr>
            <w:tcW w:w="791" w:type="pct"/>
            <w:vAlign w:val="center"/>
          </w:tcPr>
          <w:p w14:paraId="0AF9766F">
            <w:pPr>
              <w:pStyle w:val="16"/>
              <w:spacing w:line="360" w:lineRule="auto"/>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干货调料、包点、蛋品及冰鲜类食材配送服务</w:t>
            </w:r>
          </w:p>
        </w:tc>
        <w:tc>
          <w:tcPr>
            <w:tcW w:w="248" w:type="pct"/>
            <w:vAlign w:val="center"/>
          </w:tcPr>
          <w:p w14:paraId="4647B424">
            <w:pPr>
              <w:pStyle w:val="16"/>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项</w:t>
            </w:r>
          </w:p>
        </w:tc>
        <w:tc>
          <w:tcPr>
            <w:tcW w:w="414" w:type="pct"/>
            <w:vAlign w:val="center"/>
          </w:tcPr>
          <w:p w14:paraId="23CB5AC7">
            <w:pPr>
              <w:pStyle w:val="16"/>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1.00</w:t>
            </w:r>
          </w:p>
        </w:tc>
        <w:tc>
          <w:tcPr>
            <w:tcW w:w="1003" w:type="pct"/>
            <w:vAlign w:val="center"/>
          </w:tcPr>
          <w:p w14:paraId="66E6AC35">
            <w:pPr>
              <w:pStyle w:val="16"/>
              <w:spacing w:line="360" w:lineRule="auto"/>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lang w:eastAsia="zh-CN"/>
              </w:rPr>
              <w:t>00,000.00</w:t>
            </w:r>
          </w:p>
        </w:tc>
        <w:tc>
          <w:tcPr>
            <w:tcW w:w="1003" w:type="pct"/>
            <w:shd w:val="clear" w:color="auto" w:fill="auto"/>
            <w:vAlign w:val="center"/>
          </w:tcPr>
          <w:p w14:paraId="775D66AA">
            <w:pPr>
              <w:pStyle w:val="16"/>
              <w:spacing w:line="36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lang w:eastAsia="zh-CN"/>
              </w:rPr>
              <w:t>00,000.00</w:t>
            </w:r>
          </w:p>
        </w:tc>
        <w:tc>
          <w:tcPr>
            <w:tcW w:w="387" w:type="pct"/>
            <w:vAlign w:val="center"/>
          </w:tcPr>
          <w:p w14:paraId="0CD942AC">
            <w:pPr>
              <w:pStyle w:val="16"/>
              <w:spacing w:line="360" w:lineRule="auto"/>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批发业</w:t>
            </w:r>
          </w:p>
        </w:tc>
        <w:tc>
          <w:tcPr>
            <w:tcW w:w="452" w:type="pct"/>
            <w:vAlign w:val="center"/>
          </w:tcPr>
          <w:p w14:paraId="07129507">
            <w:pPr>
              <w:pStyle w:val="16"/>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详见附表一</w:t>
            </w:r>
          </w:p>
        </w:tc>
      </w:tr>
    </w:tbl>
    <w:p w14:paraId="30A60B52">
      <w:pPr>
        <w:pStyle w:val="16"/>
        <w:spacing w:line="360" w:lineRule="auto"/>
        <w:rPr>
          <w:rFonts w:hint="eastAsia" w:ascii="仿宋" w:hAnsi="仿宋" w:eastAsia="仿宋" w:cs="仿宋"/>
          <w:color w:val="auto"/>
          <w:sz w:val="28"/>
          <w:szCs w:val="28"/>
          <w:highlight w:val="none"/>
          <w:lang w:eastAsia="zh-CN"/>
        </w:rPr>
      </w:pPr>
      <w:r>
        <w:rPr>
          <w:rFonts w:hint="eastAsia" w:ascii="仿宋" w:hAnsi="仿宋" w:eastAsia="仿宋" w:cs="仿宋"/>
          <w:b/>
          <w:color w:val="auto"/>
          <w:sz w:val="28"/>
          <w:szCs w:val="28"/>
          <w:highlight w:val="none"/>
        </w:rPr>
        <w:t>附表一：</w:t>
      </w:r>
      <w:r>
        <w:rPr>
          <w:rFonts w:hint="eastAsia" w:ascii="仿宋" w:hAnsi="仿宋" w:eastAsia="仿宋" w:cs="仿宋"/>
          <w:b/>
          <w:color w:val="auto"/>
          <w:sz w:val="28"/>
          <w:szCs w:val="28"/>
          <w:highlight w:val="none"/>
          <w:lang w:eastAsia="zh-CN"/>
        </w:rPr>
        <w:t>干货调料、包点、蛋品及冰鲜类食材配送服务</w:t>
      </w:r>
    </w:p>
    <w:tbl>
      <w:tblPr>
        <w:tblStyle w:val="12"/>
        <w:tblW w:w="4998" w:type="pct"/>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21"/>
        <w:gridCol w:w="652"/>
        <w:gridCol w:w="7584"/>
      </w:tblGrid>
      <w:tr w14:paraId="6813D7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90" w:hRule="atLeast"/>
          <w:jc w:val="center"/>
        </w:trPr>
        <w:tc>
          <w:tcPr>
            <w:tcW w:w="453" w:type="pct"/>
            <w:vAlign w:val="center"/>
          </w:tcPr>
          <w:p w14:paraId="0ED71C87">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参数性质</w:t>
            </w:r>
          </w:p>
        </w:tc>
        <w:tc>
          <w:tcPr>
            <w:tcW w:w="359" w:type="pct"/>
            <w:vAlign w:val="center"/>
          </w:tcPr>
          <w:p w14:paraId="0B2AF98E">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序号</w:t>
            </w:r>
          </w:p>
        </w:tc>
        <w:tc>
          <w:tcPr>
            <w:tcW w:w="4186" w:type="pct"/>
            <w:vAlign w:val="center"/>
          </w:tcPr>
          <w:p w14:paraId="2A25E225">
            <w:pPr>
              <w:pStyle w:val="16"/>
              <w:spacing w:line="360" w:lineRule="auto"/>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具体技术(参数)要求</w:t>
            </w:r>
          </w:p>
        </w:tc>
      </w:tr>
      <w:tr w14:paraId="412082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453" w:type="pct"/>
            <w:vAlign w:val="center"/>
          </w:tcPr>
          <w:p w14:paraId="4AED8B13">
            <w:pPr>
              <w:spacing w:line="360" w:lineRule="auto"/>
              <w:jc w:val="center"/>
              <w:rPr>
                <w:rFonts w:hint="eastAsia" w:ascii="仿宋" w:hAnsi="仿宋" w:eastAsia="仿宋" w:cs="仿宋"/>
                <w:color w:val="auto"/>
                <w:sz w:val="28"/>
                <w:szCs w:val="28"/>
                <w:highlight w:val="none"/>
              </w:rPr>
            </w:pPr>
          </w:p>
        </w:tc>
        <w:tc>
          <w:tcPr>
            <w:tcW w:w="359" w:type="pct"/>
            <w:vAlign w:val="center"/>
          </w:tcPr>
          <w:p w14:paraId="000741D2">
            <w:pPr>
              <w:pStyle w:val="16"/>
              <w:spacing w:line="360" w:lineRule="auto"/>
              <w:jc w:val="center"/>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w:t>
            </w:r>
          </w:p>
        </w:tc>
        <w:tc>
          <w:tcPr>
            <w:tcW w:w="4186" w:type="pct"/>
          </w:tcPr>
          <w:p w14:paraId="422B69DD">
            <w:pPr>
              <w:spacing w:line="360" w:lineRule="auto"/>
              <w:rPr>
                <w:rFonts w:hint="default"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一、采购内容</w:t>
            </w:r>
          </w:p>
          <w:p w14:paraId="77B472A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仿宋" w:hAnsi="仿宋" w:eastAsia="仿宋" w:cs="仿宋"/>
                <w:b w:val="0"/>
                <w:bCs w:val="0"/>
                <w:color w:val="auto"/>
                <w:sz w:val="28"/>
                <w:szCs w:val="28"/>
                <w:highlight w:val="none"/>
                <w:lang w:val="en-US" w:eastAsia="zh-CN"/>
              </w:rPr>
            </w:pPr>
            <w:r>
              <w:rPr>
                <w:rFonts w:hint="default" w:ascii="仿宋" w:hAnsi="仿宋" w:eastAsia="仿宋" w:cs="仿宋"/>
                <w:b w:val="0"/>
                <w:bCs w:val="0"/>
                <w:color w:val="auto"/>
                <w:sz w:val="28"/>
                <w:szCs w:val="28"/>
                <w:highlight w:val="none"/>
                <w:lang w:val="en-US" w:eastAsia="zh-CN"/>
              </w:rPr>
              <w:t>东莞市常平镇中心小学食堂食材采购项目采购包</w:t>
            </w:r>
            <w:r>
              <w:rPr>
                <w:rFonts w:hint="eastAsia" w:ascii="仿宋" w:hAnsi="仿宋" w:eastAsia="仿宋" w:cs="仿宋"/>
                <w:b w:val="0"/>
                <w:bCs w:val="0"/>
                <w:color w:val="auto"/>
                <w:sz w:val="28"/>
                <w:szCs w:val="28"/>
                <w:highlight w:val="none"/>
                <w:lang w:val="en-US" w:eastAsia="zh-CN"/>
              </w:rPr>
              <w:t>2</w:t>
            </w:r>
            <w:r>
              <w:rPr>
                <w:rFonts w:hint="default" w:ascii="仿宋" w:hAnsi="仿宋" w:eastAsia="仿宋" w:cs="仿宋"/>
                <w:b w:val="0"/>
                <w:bCs w:val="0"/>
                <w:color w:val="auto"/>
                <w:sz w:val="28"/>
                <w:szCs w:val="28"/>
                <w:highlight w:val="none"/>
                <w:lang w:val="en-US" w:eastAsia="zh-CN"/>
              </w:rPr>
              <w:t>（干货调料、包点、蛋品及冰鲜类食材配送服务）</w:t>
            </w:r>
            <w:r>
              <w:rPr>
                <w:rFonts w:hint="eastAsia" w:ascii="仿宋" w:hAnsi="仿宋" w:eastAsia="仿宋" w:cs="仿宋"/>
                <w:b w:val="0"/>
                <w:bCs w:val="0"/>
                <w:color w:val="auto"/>
                <w:sz w:val="28"/>
                <w:szCs w:val="28"/>
                <w:highlight w:val="none"/>
                <w:lang w:val="en-US" w:eastAsia="zh-CN"/>
              </w:rPr>
              <w:t>，中标人为采购人供应干货调料、包点、蛋品及冰鲜类食材（详见附件2：《食材采购清单（采购包2）》），实际供货品种以合同签订时经采购人书面确定的清单为准。中标人供应上述种类的全部，所供应的货品必须安全卫生，量足价平，并提供有完善的售后服务。</w:t>
            </w:r>
          </w:p>
        </w:tc>
      </w:tr>
      <w:tr w14:paraId="3F8A43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453" w:type="pct"/>
            <w:vAlign w:val="center"/>
          </w:tcPr>
          <w:p w14:paraId="032BB048">
            <w:pPr>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w:t>
            </w:r>
          </w:p>
        </w:tc>
        <w:tc>
          <w:tcPr>
            <w:tcW w:w="359" w:type="pct"/>
            <w:vAlign w:val="center"/>
          </w:tcPr>
          <w:p w14:paraId="403B081E">
            <w:pPr>
              <w:pStyle w:val="16"/>
              <w:spacing w:line="360" w:lineRule="auto"/>
              <w:jc w:val="center"/>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2</w:t>
            </w:r>
          </w:p>
        </w:tc>
        <w:tc>
          <w:tcPr>
            <w:tcW w:w="4186" w:type="pct"/>
          </w:tcPr>
          <w:p w14:paraId="037159EA">
            <w:pPr>
              <w:spacing w:line="360" w:lineRule="auto"/>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二、订货与配送时间要求（须提供承诺函并加盖投标人公章，承诺函格式自拟）</w:t>
            </w:r>
          </w:p>
          <w:p w14:paraId="547ED81B">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1、订货说明</w:t>
            </w:r>
          </w:p>
          <w:p w14:paraId="001DC3DF">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default"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采购人</w:t>
            </w:r>
            <w:r>
              <w:rPr>
                <w:rFonts w:hint="default" w:ascii="仿宋" w:hAnsi="仿宋" w:eastAsia="仿宋" w:cs="仿宋"/>
                <w:b/>
                <w:bCs/>
                <w:color w:val="auto"/>
                <w:sz w:val="28"/>
                <w:szCs w:val="28"/>
                <w:highlight w:val="none"/>
                <w:lang w:val="en-US" w:eastAsia="zh-CN"/>
              </w:rPr>
              <w:t>在每周最后两个工作日的18:00</w:t>
            </w:r>
            <w:r>
              <w:rPr>
                <w:rFonts w:hint="eastAsia" w:ascii="仿宋" w:hAnsi="仿宋" w:eastAsia="仿宋" w:cs="仿宋"/>
                <w:b/>
                <w:bCs/>
                <w:color w:val="auto"/>
                <w:sz w:val="28"/>
                <w:szCs w:val="28"/>
                <w:highlight w:val="none"/>
                <w:lang w:val="en-US" w:eastAsia="zh-CN"/>
              </w:rPr>
              <w:t>（</w:t>
            </w:r>
            <w:r>
              <w:rPr>
                <w:rFonts w:hint="default" w:ascii="仿宋" w:hAnsi="仿宋" w:eastAsia="仿宋" w:cs="仿宋"/>
                <w:b/>
                <w:bCs/>
                <w:color w:val="auto"/>
                <w:sz w:val="28"/>
                <w:szCs w:val="28"/>
                <w:highlight w:val="none"/>
                <w:lang w:val="en-US" w:eastAsia="zh-CN"/>
              </w:rPr>
              <w:t>星期</w:t>
            </w:r>
            <w:r>
              <w:rPr>
                <w:rFonts w:hint="eastAsia" w:ascii="仿宋" w:hAnsi="仿宋" w:eastAsia="仿宋" w:cs="仿宋"/>
                <w:b/>
                <w:bCs/>
                <w:color w:val="auto"/>
                <w:sz w:val="28"/>
                <w:szCs w:val="28"/>
                <w:highlight w:val="none"/>
                <w:lang w:val="en-US" w:eastAsia="zh-CN"/>
              </w:rPr>
              <w:t>四</w:t>
            </w:r>
            <w:r>
              <w:rPr>
                <w:rFonts w:hint="default" w:ascii="仿宋" w:hAnsi="仿宋" w:eastAsia="仿宋" w:cs="仿宋"/>
                <w:b/>
                <w:bCs/>
                <w:color w:val="auto"/>
                <w:sz w:val="28"/>
                <w:szCs w:val="28"/>
                <w:highlight w:val="none"/>
                <w:lang w:val="en-US" w:eastAsia="zh-CN"/>
              </w:rPr>
              <w:t>与星期</w:t>
            </w:r>
            <w:r>
              <w:rPr>
                <w:rFonts w:hint="eastAsia" w:ascii="仿宋" w:hAnsi="仿宋" w:eastAsia="仿宋" w:cs="仿宋"/>
                <w:b/>
                <w:bCs/>
                <w:color w:val="auto"/>
                <w:sz w:val="28"/>
                <w:szCs w:val="28"/>
                <w:highlight w:val="none"/>
                <w:lang w:val="en-US" w:eastAsia="zh-CN"/>
              </w:rPr>
              <w:t>五）</w:t>
            </w:r>
            <w:r>
              <w:rPr>
                <w:rFonts w:hint="default" w:ascii="仿宋" w:hAnsi="仿宋" w:eastAsia="仿宋" w:cs="仿宋"/>
                <w:b/>
                <w:bCs/>
                <w:color w:val="auto"/>
                <w:sz w:val="28"/>
                <w:szCs w:val="28"/>
                <w:highlight w:val="none"/>
                <w:lang w:val="en-US" w:eastAsia="zh-CN"/>
              </w:rPr>
              <w:t>之前，发出并确认</w:t>
            </w:r>
            <w:r>
              <w:rPr>
                <w:rFonts w:hint="eastAsia" w:ascii="仿宋" w:hAnsi="仿宋" w:eastAsia="仿宋" w:cs="仿宋"/>
                <w:b/>
                <w:bCs/>
                <w:color w:val="auto"/>
                <w:sz w:val="28"/>
                <w:szCs w:val="28"/>
                <w:highlight w:val="none"/>
                <w:lang w:val="en-US" w:eastAsia="zh-CN"/>
              </w:rPr>
              <w:t>食材</w:t>
            </w:r>
            <w:r>
              <w:rPr>
                <w:rFonts w:hint="default" w:ascii="仿宋" w:hAnsi="仿宋" w:eastAsia="仿宋" w:cs="仿宋"/>
                <w:b/>
                <w:bCs/>
                <w:color w:val="auto"/>
                <w:sz w:val="28"/>
                <w:szCs w:val="28"/>
                <w:highlight w:val="none"/>
                <w:lang w:val="en-US" w:eastAsia="zh-CN"/>
              </w:rPr>
              <w:t>订单，订单内容应说明清楚品名、数量、规格、质量和餐次等要求，中标人须按照</w:t>
            </w:r>
            <w:r>
              <w:rPr>
                <w:rFonts w:hint="eastAsia" w:ascii="仿宋" w:hAnsi="仿宋" w:eastAsia="仿宋" w:cs="仿宋"/>
                <w:b/>
                <w:bCs/>
                <w:color w:val="auto"/>
                <w:sz w:val="28"/>
                <w:szCs w:val="28"/>
                <w:highlight w:val="none"/>
                <w:lang w:val="en-US" w:eastAsia="zh-CN"/>
              </w:rPr>
              <w:t>采购人</w:t>
            </w:r>
            <w:r>
              <w:rPr>
                <w:rFonts w:hint="default" w:ascii="仿宋" w:hAnsi="仿宋" w:eastAsia="仿宋" w:cs="仿宋"/>
                <w:b/>
                <w:bCs/>
                <w:color w:val="auto"/>
                <w:sz w:val="28"/>
                <w:szCs w:val="28"/>
                <w:highlight w:val="none"/>
                <w:lang w:val="en-US" w:eastAsia="zh-CN"/>
              </w:rPr>
              <w:t>订货单要求按时保质保量，送货至</w:t>
            </w:r>
            <w:r>
              <w:rPr>
                <w:rFonts w:hint="eastAsia" w:ascii="仿宋" w:hAnsi="仿宋" w:eastAsia="仿宋" w:cs="仿宋"/>
                <w:b/>
                <w:bCs/>
                <w:color w:val="auto"/>
                <w:sz w:val="28"/>
                <w:szCs w:val="28"/>
                <w:highlight w:val="none"/>
                <w:lang w:val="en-US" w:eastAsia="zh-CN"/>
              </w:rPr>
              <w:t>采购人</w:t>
            </w:r>
            <w:r>
              <w:rPr>
                <w:rFonts w:hint="default" w:ascii="仿宋" w:hAnsi="仿宋" w:eastAsia="仿宋" w:cs="仿宋"/>
                <w:b/>
                <w:bCs/>
                <w:color w:val="auto"/>
                <w:sz w:val="28"/>
                <w:szCs w:val="28"/>
                <w:highlight w:val="none"/>
                <w:lang w:val="en-US" w:eastAsia="zh-CN"/>
              </w:rPr>
              <w:t>指定地点；特殊情况下，</w:t>
            </w:r>
            <w:r>
              <w:rPr>
                <w:rFonts w:hint="eastAsia" w:ascii="仿宋" w:hAnsi="仿宋" w:eastAsia="仿宋" w:cs="仿宋"/>
                <w:b/>
                <w:bCs/>
                <w:color w:val="auto"/>
                <w:sz w:val="28"/>
                <w:szCs w:val="28"/>
                <w:highlight w:val="none"/>
                <w:lang w:val="en-US" w:eastAsia="zh-CN"/>
              </w:rPr>
              <w:t>采购人</w:t>
            </w:r>
            <w:r>
              <w:rPr>
                <w:rFonts w:hint="default" w:ascii="仿宋" w:hAnsi="仿宋" w:eastAsia="仿宋" w:cs="仿宋"/>
                <w:b/>
                <w:bCs/>
                <w:color w:val="auto"/>
                <w:sz w:val="28"/>
                <w:szCs w:val="28"/>
                <w:highlight w:val="none"/>
                <w:lang w:val="en-US" w:eastAsia="zh-CN"/>
              </w:rPr>
              <w:t>需中标人在规定时间内将采购货物送到指定地点，中标人应无条件配合，并能确保准时送到。</w:t>
            </w:r>
          </w:p>
          <w:p w14:paraId="5753CAC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2、配送要求</w:t>
            </w:r>
          </w:p>
          <w:p w14:paraId="2B142090">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default" w:ascii="仿宋" w:hAnsi="仿宋" w:eastAsia="仿宋" w:cs="仿宋"/>
                <w:b/>
                <w:bCs/>
                <w:color w:val="auto"/>
                <w:sz w:val="28"/>
                <w:szCs w:val="28"/>
                <w:highlight w:val="none"/>
                <w:lang w:val="en-US" w:eastAsia="zh-CN"/>
              </w:rPr>
            </w:pPr>
            <w:r>
              <w:rPr>
                <w:rFonts w:hint="default" w:ascii="仿宋" w:hAnsi="仿宋" w:eastAsia="仿宋" w:cs="仿宋"/>
                <w:b/>
                <w:bCs/>
                <w:color w:val="auto"/>
                <w:sz w:val="28"/>
                <w:szCs w:val="28"/>
                <w:highlight w:val="none"/>
                <w:lang w:val="en-US" w:eastAsia="zh-CN"/>
              </w:rPr>
              <w:t>食材运抵指定地点后由中标人负责卸车并搬运至采购人指定地点，搬运食材时经过的过道、电梯等公共区域需保持整洁，若留有污渍需及时清理；服务过程中禁止服务人员在采购人</w:t>
            </w:r>
            <w:r>
              <w:rPr>
                <w:rFonts w:hint="eastAsia" w:ascii="仿宋" w:hAnsi="仿宋" w:eastAsia="仿宋" w:cs="仿宋"/>
                <w:b/>
                <w:bCs/>
                <w:color w:val="auto"/>
                <w:sz w:val="28"/>
                <w:szCs w:val="28"/>
                <w:highlight w:val="none"/>
                <w:lang w:val="en-US" w:eastAsia="zh-CN"/>
              </w:rPr>
              <w:t>学校区域</w:t>
            </w:r>
            <w:r>
              <w:rPr>
                <w:rFonts w:hint="default" w:ascii="仿宋" w:hAnsi="仿宋" w:eastAsia="仿宋" w:cs="仿宋"/>
                <w:b/>
                <w:bCs/>
                <w:color w:val="auto"/>
                <w:sz w:val="28"/>
                <w:szCs w:val="28"/>
                <w:highlight w:val="none"/>
                <w:lang w:val="en-US" w:eastAsia="zh-CN"/>
              </w:rPr>
              <w:t>内吸烟。</w:t>
            </w:r>
          </w:p>
        </w:tc>
      </w:tr>
      <w:tr w14:paraId="4342DD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453" w:type="pct"/>
            <w:vAlign w:val="center"/>
          </w:tcPr>
          <w:p w14:paraId="2068EFF5">
            <w:pPr>
              <w:spacing w:line="360" w:lineRule="auto"/>
              <w:jc w:val="center"/>
              <w:rPr>
                <w:rFonts w:hint="eastAsia" w:ascii="仿宋" w:hAnsi="仿宋" w:eastAsia="仿宋" w:cs="仿宋"/>
                <w:color w:val="auto"/>
                <w:sz w:val="28"/>
                <w:szCs w:val="28"/>
                <w:highlight w:val="none"/>
              </w:rPr>
            </w:pPr>
          </w:p>
        </w:tc>
        <w:tc>
          <w:tcPr>
            <w:tcW w:w="359" w:type="pct"/>
            <w:vAlign w:val="center"/>
          </w:tcPr>
          <w:p w14:paraId="313B9B91">
            <w:pPr>
              <w:pStyle w:val="16"/>
              <w:spacing w:line="360" w:lineRule="auto"/>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w:t>
            </w:r>
          </w:p>
        </w:tc>
        <w:tc>
          <w:tcPr>
            <w:tcW w:w="4186" w:type="pct"/>
          </w:tcPr>
          <w:p w14:paraId="27C74F00">
            <w:pPr>
              <w:spacing w:line="360" w:lineRule="auto"/>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三、服务要求</w:t>
            </w:r>
          </w:p>
          <w:p w14:paraId="1B2EA763">
            <w:pPr>
              <w:spacing w:line="360" w:lineRule="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1、基本要求</w:t>
            </w:r>
          </w:p>
          <w:p w14:paraId="2FF22762">
            <w:pPr>
              <w:spacing w:line="360" w:lineRule="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（1）中标人必须具有完善的相应制度、办法和保障措施；</w:t>
            </w:r>
          </w:p>
          <w:p w14:paraId="70DE6E2F">
            <w:pPr>
              <w:spacing w:line="360" w:lineRule="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（2）中标人严格按政府有关卫生管理规定提供符合国家卫生标准的各类食品、食材，具有政府有关部门的合格证明，各类肉菜、食品，确保无变质变味食物。</w:t>
            </w:r>
          </w:p>
          <w:p w14:paraId="3C4AE0A3">
            <w:pPr>
              <w:spacing w:line="360" w:lineRule="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（3）中标人需服从采购人和食品监督部门的监督管理，配合采购人及时更新所提供的符合卫生监督部门的有效证明材料，包括但不限于营业执照、产品合格证等。</w:t>
            </w:r>
          </w:p>
          <w:p w14:paraId="0FA4DA46">
            <w:pPr>
              <w:spacing w:line="360" w:lineRule="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（4）中标人所送的食材及物资引起食用人身体不适、发生食物中毒等问题，经正规食品质量检验部门确定是中标人责任的，由中标人承担全部经济赔偿及法律责任。</w:t>
            </w:r>
          </w:p>
          <w:p w14:paraId="50075DFA">
            <w:pPr>
              <w:spacing w:line="360" w:lineRule="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5）中标人必须遵守国家规定的《中华人民共和国食品安全法》《中华人民共和国农产品质量安全法》等法律和行政法规的规定，提供的货品必须符合国家有关卫生标准，保质、保量、保鲜，严禁配送假冒、变质、过期的农副产品，对于验收不合格的货品，中标人必须无条件包退包换。</w:t>
            </w:r>
          </w:p>
          <w:p w14:paraId="5B7A0A96">
            <w:pPr>
              <w:spacing w:line="360" w:lineRule="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2、服务要求</w:t>
            </w:r>
          </w:p>
          <w:p w14:paraId="528DF94F">
            <w:pPr>
              <w:spacing w:line="360" w:lineRule="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1）本采购包配送食材包括干货调料、包点、蛋品及冰鲜类食材。中标人按照采购人提出的物品订货清单，不论数量多少（例如：500克以下），必须保证在规定的时间、地点送货。中标人对采购人提出的临时性服务要求也应按时、按质、按量将货品送到采购人指定地点；中标人所供应的货品必须安全卫生，承担送货途中的一切风险并提供完善的售后服务。</w:t>
            </w:r>
          </w:p>
          <w:p w14:paraId="4BCCFF07">
            <w:pPr>
              <w:spacing w:line="360" w:lineRule="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（2）针对采购人食材采购需求，中标人须在收到采购人食材配送要求后2小时内将食材按质、按量配送至采购人指定地点。</w:t>
            </w:r>
          </w:p>
          <w:p w14:paraId="00D36728">
            <w:pPr>
              <w:spacing w:line="360" w:lineRule="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（3）中标人提供的货品必须符合国家食品卫生法规相关标准，保质、保量，不合格的货品，中标人必须包退包换。</w:t>
            </w:r>
          </w:p>
          <w:p w14:paraId="692F4B51">
            <w:pPr>
              <w:spacing w:line="360" w:lineRule="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（4）中标人提供的货品必须出示真实有效的检验合格报告。（5）中标人每次送货应有相应的送货清单，且必须提供合法的进货单据。</w:t>
            </w:r>
          </w:p>
          <w:p w14:paraId="0E79324B">
            <w:pPr>
              <w:spacing w:line="360" w:lineRule="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（6）中标人提供的货品导致采购人有任何食物安全事件出现，由中标人承担全部责任及赔偿采购人一切损失，采购人保留法律追究权利。</w:t>
            </w:r>
          </w:p>
          <w:p w14:paraId="4CE8D766">
            <w:pPr>
              <w:spacing w:line="360" w:lineRule="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（7）中标人的供货价应包含货品交给采购人之前的一切费用，包括运输费、储存费等，并承担送货途中的一切风险。</w:t>
            </w:r>
          </w:p>
          <w:p w14:paraId="21047EF8">
            <w:pPr>
              <w:spacing w:line="360" w:lineRule="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（8）中标人进入采购人范围内必须遵守采购人有关规定，不得影响采购人的正常工作，由于中标人的过失造成采购人直接经济损失则要负全部责任及赔偿采购人一切损失。</w:t>
            </w:r>
          </w:p>
          <w:p w14:paraId="45AE7CD5">
            <w:pPr>
              <w:spacing w:line="360" w:lineRule="auto"/>
              <w:rPr>
                <w:rFonts w:hint="eastAsia" w:ascii="仿宋" w:hAnsi="仿宋" w:eastAsia="仿宋" w:cs="仿宋"/>
                <w:color w:val="auto"/>
                <w:sz w:val="28"/>
                <w:szCs w:val="28"/>
                <w:highlight w:val="none"/>
              </w:rPr>
            </w:pPr>
            <w:r>
              <w:rPr>
                <w:rFonts w:hint="eastAsia" w:ascii="仿宋" w:hAnsi="仿宋" w:eastAsia="仿宋" w:cs="仿宋"/>
                <w:b w:val="0"/>
                <w:bCs w:val="0"/>
                <w:color w:val="auto"/>
                <w:sz w:val="28"/>
                <w:szCs w:val="28"/>
                <w:highlight w:val="none"/>
                <w:lang w:val="en-US" w:eastAsia="zh-CN"/>
              </w:rPr>
              <w:t>（9）若遇台风、暴雨等意外原因造成的个别品种价格需临时调整，应通知采购人，并征得采购人同意后方可调整，</w:t>
            </w:r>
            <w:r>
              <w:rPr>
                <w:rFonts w:hint="eastAsia" w:ascii="仿宋" w:hAnsi="仿宋" w:eastAsia="仿宋" w:cs="仿宋"/>
                <w:b w:val="0"/>
                <w:bCs w:val="0"/>
                <w:color w:val="FF0000"/>
                <w:sz w:val="28"/>
                <w:szCs w:val="28"/>
                <w:highlight w:val="none"/>
                <w:lang w:val="en-US" w:eastAsia="zh-CN"/>
              </w:rPr>
              <w:t>调整后的价格仅对当次送货订单有效，后续其他送货订单仍应按该周期确认的报价执行。采购人认为无需调整的，中标人仍应按该周期确认的报价送货结算。</w:t>
            </w:r>
          </w:p>
        </w:tc>
      </w:tr>
      <w:tr w14:paraId="37E806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453" w:type="pct"/>
            <w:vAlign w:val="center"/>
          </w:tcPr>
          <w:p w14:paraId="3BFF9A49">
            <w:pPr>
              <w:spacing w:line="360" w:lineRule="auto"/>
              <w:jc w:val="center"/>
              <w:rPr>
                <w:rFonts w:hint="eastAsia" w:ascii="仿宋" w:hAnsi="仿宋" w:eastAsia="仿宋" w:cs="仿宋"/>
                <w:color w:val="auto"/>
                <w:sz w:val="28"/>
                <w:szCs w:val="28"/>
                <w:highlight w:val="none"/>
              </w:rPr>
            </w:pPr>
          </w:p>
        </w:tc>
        <w:tc>
          <w:tcPr>
            <w:tcW w:w="359" w:type="pct"/>
            <w:vAlign w:val="center"/>
          </w:tcPr>
          <w:p w14:paraId="3CA89074">
            <w:pPr>
              <w:pStyle w:val="16"/>
              <w:spacing w:line="360" w:lineRule="auto"/>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w:t>
            </w:r>
          </w:p>
        </w:tc>
        <w:tc>
          <w:tcPr>
            <w:tcW w:w="4186" w:type="pct"/>
          </w:tcPr>
          <w:p w14:paraId="14E3B039">
            <w:pPr>
              <w:spacing w:line="360" w:lineRule="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lang w:eastAsia="zh-CN"/>
              </w:rPr>
              <w:t>四</w:t>
            </w:r>
            <w:r>
              <w:rPr>
                <w:rFonts w:hint="eastAsia" w:ascii="仿宋" w:hAnsi="仿宋" w:eastAsia="仿宋" w:cs="仿宋"/>
                <w:b/>
                <w:bCs/>
                <w:color w:val="auto"/>
                <w:sz w:val="28"/>
                <w:szCs w:val="28"/>
                <w:highlight w:val="none"/>
              </w:rPr>
              <w:t>、验收标准</w:t>
            </w:r>
          </w:p>
          <w:p w14:paraId="2679B684">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中标人应充分理解并认真遵循本招标文件的要求，所提供的货物必须满足招标文件要求。保证供应的货品均为正规生产的新鲜、检验合格、无毒、无辐射、无侵权货品，符合国家有关卫生、质量、包装和保质标准，有使用有效期的货品，其剩余有效期不得少于标注有效期的</w:t>
            </w:r>
            <w:r>
              <w:rPr>
                <w:rFonts w:hint="eastAsia" w:ascii="仿宋" w:hAnsi="仿宋" w:eastAsia="仿宋" w:cs="仿宋"/>
                <w:color w:val="auto"/>
                <w:sz w:val="28"/>
                <w:szCs w:val="28"/>
                <w:highlight w:val="none"/>
                <w:lang w:val="en-US" w:eastAsia="zh-CN"/>
              </w:rPr>
              <w:t>8</w:t>
            </w:r>
            <w:r>
              <w:rPr>
                <w:rFonts w:hint="eastAsia" w:ascii="仿宋" w:hAnsi="仿宋" w:eastAsia="仿宋" w:cs="仿宋"/>
                <w:color w:val="auto"/>
                <w:sz w:val="28"/>
                <w:szCs w:val="28"/>
                <w:highlight w:val="none"/>
              </w:rPr>
              <w:t>0%。货物有包装的，货物的包装必须完整清洁（无损、无污、无皱），采购人有权拒收包装不整齐、已拆封的货品。货品质量或包装不符合采购人要求的，中标人必须无条件退货或更换。配送货品中涉及</w:t>
            </w:r>
            <w:r>
              <w:rPr>
                <w:rFonts w:hint="eastAsia" w:ascii="仿宋" w:hAnsi="仿宋" w:eastAsia="仿宋" w:cs="仿宋"/>
                <w:color w:val="auto"/>
                <w:sz w:val="28"/>
                <w:szCs w:val="28"/>
                <w:highlight w:val="none"/>
                <w:lang w:val="en-US" w:eastAsia="zh-CN"/>
              </w:rPr>
              <w:t>需冷藏货品的</w:t>
            </w:r>
            <w:r>
              <w:rPr>
                <w:rFonts w:hint="eastAsia" w:ascii="仿宋" w:hAnsi="仿宋" w:eastAsia="仿宋" w:cs="仿宋"/>
                <w:color w:val="auto"/>
                <w:sz w:val="28"/>
                <w:szCs w:val="28"/>
                <w:highlight w:val="none"/>
              </w:rPr>
              <w:t>，必须用专用冷藏、冷冻载具运输，保证运输过程冷链不中断，到达目的地时外包装箱干爽，无软化现象；其中须冷藏运输的货品，保证运输过程环境保持在恒温5℃；须冷冻运输的货品，保证运输过程环境保持在恒温-18℃。</w:t>
            </w:r>
          </w:p>
          <w:p w14:paraId="4402E591">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干货调料</w:t>
            </w:r>
            <w:r>
              <w:rPr>
                <w:rFonts w:hint="eastAsia" w:ascii="仿宋" w:hAnsi="仿宋" w:eastAsia="仿宋" w:cs="仿宋"/>
                <w:color w:val="auto"/>
                <w:sz w:val="28"/>
                <w:szCs w:val="28"/>
                <w:highlight w:val="none"/>
                <w:lang w:val="en-US" w:eastAsia="zh-CN"/>
              </w:rPr>
              <w:t>及蛋品</w:t>
            </w:r>
            <w:r>
              <w:rPr>
                <w:rFonts w:hint="eastAsia" w:ascii="仿宋" w:hAnsi="仿宋" w:eastAsia="仿宋" w:cs="仿宋"/>
                <w:color w:val="auto"/>
                <w:sz w:val="28"/>
                <w:szCs w:val="28"/>
                <w:highlight w:val="none"/>
              </w:rPr>
              <w:t>类</w:t>
            </w:r>
          </w:p>
          <w:p w14:paraId="22CF9A25">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1）粮食大米类由正规厂家出厂、颜色品质纯正，米粒形均匀、整齐、重量大没有碎米，有清香味和光泽，无米糠和其它杂质、无虫害、无异味、无霉味，用手摸时滑爽、干燥。符合食品卫生标准，无毒、无污染。</w:t>
            </w:r>
          </w:p>
          <w:p w14:paraId="72A90521">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2）食用油类由正规厂家生产的植物油，非转基因，色泽纯正，透明度好。</w:t>
            </w:r>
          </w:p>
          <w:p w14:paraId="3E8A9A76">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3）调味品类由正规厂家生产，颜色品质纯正。</w:t>
            </w:r>
          </w:p>
          <w:p w14:paraId="40036B9D">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4）干货、杂货、副食品类必须选用符合国家食品卫生法规相关标准的商品，选用无毒、无害、无污染、可朔源的食品。掺假、掺杂食品坚决不能使用。</w:t>
            </w:r>
          </w:p>
          <w:p w14:paraId="023AF3E0">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5）副食品等级标准要相符，其包装盒或标签上须注明食品名称、生产厂家、厂址、生产日期、食品的主要原料成份和食品保质期等信息，注明不详或没有注明的商品不予验收。</w:t>
            </w:r>
          </w:p>
          <w:p w14:paraId="0CDCF86C">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6）副食品表面外观新鲜、完整，无霉变异味，无砂粒杂质，无虫尸鼠粪等不洁卫生问题。</w:t>
            </w:r>
          </w:p>
          <w:p w14:paraId="783052E3">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7</w:t>
            </w:r>
            <w:r>
              <w:rPr>
                <w:rFonts w:hint="eastAsia" w:ascii="仿宋" w:hAnsi="仿宋" w:eastAsia="仿宋" w:cs="仿宋"/>
                <w:color w:val="auto"/>
                <w:sz w:val="28"/>
                <w:szCs w:val="28"/>
                <w:highlight w:val="none"/>
              </w:rPr>
              <w:t>）米粉面粉类及其制品颜色品质要纯正，不掺假、掺杂。</w:t>
            </w:r>
          </w:p>
          <w:p w14:paraId="623C5315">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8</w:t>
            </w:r>
            <w:r>
              <w:rPr>
                <w:rFonts w:hint="eastAsia" w:ascii="仿宋" w:hAnsi="仿宋" w:eastAsia="仿宋" w:cs="仿宋"/>
                <w:color w:val="auto"/>
                <w:sz w:val="28"/>
                <w:szCs w:val="28"/>
                <w:highlight w:val="none"/>
              </w:rPr>
              <w:t>）符合食品卫生标准，粉质细腻干爽无异物、无毒、无污染。</w:t>
            </w:r>
          </w:p>
          <w:p w14:paraId="7533091E">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9</w:t>
            </w:r>
            <w:r>
              <w:rPr>
                <w:rFonts w:hint="eastAsia" w:ascii="仿宋" w:hAnsi="仿宋" w:eastAsia="仿宋" w:cs="仿宋"/>
                <w:color w:val="auto"/>
                <w:sz w:val="28"/>
                <w:szCs w:val="28"/>
                <w:highlight w:val="none"/>
              </w:rPr>
              <w:t>）制成品不能出现异味、霉变结块、虫尸鼠粪等不洁的卫生问题。</w:t>
            </w:r>
          </w:p>
          <w:p w14:paraId="18A6A604">
            <w:pPr>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10</w:t>
            </w:r>
            <w:r>
              <w:rPr>
                <w:rFonts w:hint="eastAsia" w:ascii="仿宋" w:hAnsi="仿宋" w:eastAsia="仿宋" w:cs="仿宋"/>
                <w:color w:val="auto"/>
                <w:sz w:val="28"/>
                <w:szCs w:val="28"/>
                <w:highlight w:val="none"/>
                <w:lang w:eastAsia="zh-CN"/>
              </w:rPr>
              <w:t>）奶制品色泽乳白，口味鲜香，包装完整，无破损，符合国家规定的质量卫生标准。</w:t>
            </w:r>
          </w:p>
          <w:p w14:paraId="6D32F7FB">
            <w:pPr>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11</w:t>
            </w:r>
            <w:r>
              <w:rPr>
                <w:rFonts w:hint="eastAsia" w:ascii="仿宋" w:hAnsi="仿宋" w:eastAsia="仿宋" w:cs="仿宋"/>
                <w:color w:val="auto"/>
                <w:sz w:val="28"/>
                <w:szCs w:val="28"/>
                <w:highlight w:val="none"/>
                <w:lang w:eastAsia="zh-CN"/>
              </w:rPr>
              <w:t>）蛋壳清洁完整，无裂纹，无霉斑，灯光透视时蛋内无黑点及异物，兽药残留限量应符合国家有关规定和公告。</w:t>
            </w:r>
          </w:p>
          <w:p w14:paraId="2C6A0FB2">
            <w:pPr>
              <w:spacing w:line="360" w:lineRule="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val="en-US" w:eastAsia="zh-CN"/>
              </w:rPr>
              <w:t>2</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零星冻品副食品类</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含包点、冰鲜类</w:t>
            </w:r>
            <w:r>
              <w:rPr>
                <w:rFonts w:hint="eastAsia" w:ascii="仿宋" w:hAnsi="仿宋" w:eastAsia="仿宋" w:cs="仿宋"/>
                <w:color w:val="auto"/>
                <w:sz w:val="28"/>
                <w:szCs w:val="28"/>
                <w:highlight w:val="none"/>
                <w:lang w:eastAsia="zh-CN"/>
              </w:rPr>
              <w:t>）</w:t>
            </w:r>
          </w:p>
          <w:p w14:paraId="48FFD43F">
            <w:pPr>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（1）必须选用符合国家食品卫生法规相关标准的商品，选用无毒、无害、无污染、可朔源的副食品。掺假、掺杂副食品坚决不能使用。</w:t>
            </w:r>
          </w:p>
          <w:p w14:paraId="02D85EFD">
            <w:pPr>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（2）食品等级标准要相符，其包装盒或标签上须注明食品名称，生产厂家、厂址、生产日期、食品的主要原料成份和食品保质期等信息，注明不详或没有注明的商品不予验收。</w:t>
            </w:r>
          </w:p>
          <w:p w14:paraId="2B269763">
            <w:pPr>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（3）冻肉类产品中间不能有过多冰块，重量必须和包装箱上标明的重量一致。</w:t>
            </w:r>
          </w:p>
        </w:tc>
      </w:tr>
      <w:tr w14:paraId="524266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453" w:type="pct"/>
            <w:vAlign w:val="center"/>
          </w:tcPr>
          <w:p w14:paraId="77B80412">
            <w:pPr>
              <w:spacing w:line="360" w:lineRule="auto"/>
              <w:jc w:val="center"/>
              <w:rPr>
                <w:rFonts w:hint="eastAsia" w:ascii="仿宋" w:hAnsi="仿宋" w:eastAsia="仿宋" w:cs="仿宋"/>
                <w:color w:val="auto"/>
                <w:sz w:val="28"/>
                <w:szCs w:val="28"/>
                <w:highlight w:val="none"/>
              </w:rPr>
            </w:pPr>
          </w:p>
        </w:tc>
        <w:tc>
          <w:tcPr>
            <w:tcW w:w="359" w:type="pct"/>
            <w:vAlign w:val="center"/>
          </w:tcPr>
          <w:p w14:paraId="6611A3E4">
            <w:pPr>
              <w:pStyle w:val="16"/>
              <w:spacing w:line="360" w:lineRule="auto"/>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w:t>
            </w:r>
          </w:p>
        </w:tc>
        <w:tc>
          <w:tcPr>
            <w:tcW w:w="4186" w:type="pct"/>
          </w:tcPr>
          <w:p w14:paraId="74C9DD5F">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五</w:t>
            </w:r>
            <w:r>
              <w:rPr>
                <w:rFonts w:hint="eastAsia" w:ascii="仿宋" w:hAnsi="仿宋" w:eastAsia="仿宋" w:cs="仿宋"/>
                <w:color w:val="auto"/>
                <w:sz w:val="28"/>
                <w:szCs w:val="28"/>
                <w:highlight w:val="none"/>
              </w:rPr>
              <w:t>、供货要求</w:t>
            </w:r>
          </w:p>
          <w:p w14:paraId="392D82BA">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1、中标人所提供产品质量必须要符合行业标准要求，不得有掺假、变质、变味、过期等现象出现，严禁伪劣、假冒、无证不合格物品进入仓库。</w:t>
            </w:r>
          </w:p>
          <w:p w14:paraId="269292FC">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2、中标人在供应过程中，如果发生出现质量问题或造成食物中毒，如变质等情况，经国家相关卫生检验部门查实后确属中标人责任，中标人应依法承担相关责任。</w:t>
            </w:r>
          </w:p>
          <w:p w14:paraId="073CACC9">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3、必须有检验合格证明，严禁存在有害、有毒、腐烂变质、酸败、霉变、生虫、污垢不洁、混有异物或其他感官性状异常的食品。</w:t>
            </w:r>
          </w:p>
          <w:p w14:paraId="48BF6677">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副食品包装与标志要求：包装、容器（框、箱、袋）要求：清洁、干燥、牢固、透气，无污染、无异味、无霉变现象。标志：食品包装必须符合国家规范。食品不得存放在有害、有毒的容器内。食品包装上必须使用原产地标识，应注明：制造商名称和厂址、食品名称和重（容）量、生产日期和保质期限以及规格和“QS”认证或政府主管部门认定的认证标志等。</w:t>
            </w:r>
          </w:p>
          <w:p w14:paraId="791C4713">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5、食品供应链要求：所有食品的来源必须清晰，包装食品要有“QS”标志或政府主管部门认定的认证标志。</w:t>
            </w:r>
          </w:p>
          <w:p w14:paraId="1A46107A">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6</w:t>
            </w:r>
            <w:r>
              <w:rPr>
                <w:rFonts w:hint="eastAsia" w:ascii="仿宋" w:hAnsi="仿宋" w:eastAsia="仿宋" w:cs="仿宋"/>
                <w:color w:val="auto"/>
                <w:sz w:val="28"/>
                <w:szCs w:val="28"/>
                <w:highlight w:val="none"/>
              </w:rPr>
              <w:t>、运输要求：运输工具应清洁卫生无污染：食品运输必须采用符合卫生标准的外包装和运载工具，并且要保持清洁和定期消毒。运输车厢的内仓，包括地面、墙面和顶，应使用抗腐蚀、防潮，易清洁消毒的材料。车厢内无不良气味、异味；运输途中严防日晒、雨淋，注意通风散热；食品堆放科学合理，避免造成食品的交叉污染；如对温度有要求的食品应确定食品的温度，记录送货车辆温度，并记录存档。</w:t>
            </w:r>
          </w:p>
          <w:p w14:paraId="31D6BAE4">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7</w:t>
            </w:r>
            <w:r>
              <w:rPr>
                <w:rFonts w:hint="eastAsia" w:ascii="仿宋" w:hAnsi="仿宋" w:eastAsia="仿宋" w:cs="仿宋"/>
                <w:color w:val="auto"/>
                <w:sz w:val="28"/>
                <w:szCs w:val="28"/>
                <w:highlight w:val="none"/>
              </w:rPr>
              <w:t>、中标人必须严格按照投标描述的产品质量供货</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并配合采购人完成相关食品安全检查要求。</w:t>
            </w:r>
          </w:p>
          <w:p w14:paraId="37153535">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8</w:t>
            </w:r>
            <w:r>
              <w:rPr>
                <w:rFonts w:hint="eastAsia" w:ascii="仿宋" w:hAnsi="仿宋" w:eastAsia="仿宋" w:cs="仿宋"/>
                <w:color w:val="auto"/>
                <w:sz w:val="28"/>
                <w:szCs w:val="28"/>
                <w:highlight w:val="none"/>
              </w:rPr>
              <w:t>、中标人所供食材规格符合采购人提交的每次采购订单中明确的具体需求。</w:t>
            </w:r>
          </w:p>
          <w:p w14:paraId="2F56CE26">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9</w:t>
            </w:r>
            <w:r>
              <w:rPr>
                <w:rFonts w:hint="eastAsia" w:ascii="仿宋" w:hAnsi="仿宋" w:eastAsia="仿宋" w:cs="仿宋"/>
                <w:color w:val="auto"/>
                <w:sz w:val="28"/>
                <w:szCs w:val="28"/>
                <w:highlight w:val="none"/>
              </w:rPr>
              <w:t>、中标人食材必须符合卫生要求，不得出现腐烂、变质、油脂酸败、霉变、生虫、污秽不洁、混有异物或者其他感官性状异常。在验收过程中，如发现食品质量问题，采购人有权拒收，并及时通知中标人，经双方确认后，中标人应立即向采购人重新配送。</w:t>
            </w:r>
          </w:p>
          <w:p w14:paraId="403D593D">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10</w:t>
            </w:r>
            <w:r>
              <w:rPr>
                <w:rFonts w:hint="eastAsia" w:ascii="仿宋" w:hAnsi="仿宋" w:eastAsia="仿宋" w:cs="仿宋"/>
                <w:color w:val="auto"/>
                <w:sz w:val="28"/>
                <w:szCs w:val="28"/>
                <w:highlight w:val="none"/>
              </w:rPr>
              <w:t>、发现食品安全质量问题的处理：对危及人身安全的食品质量问题采取零容忍措施，如产品中发现重金属残留超标、腐败变质等一经发现，当日所送同批次产品全部退货。验收时凡属于规格、质量等问题的货品，中标人必须按照采购人要求包退包换，退补货品需在60分钟内补给，不能影响采购人正常供餐。若在加工食用前发现部分产品质量问题，中标人须将问题产品退货处理。</w:t>
            </w:r>
          </w:p>
          <w:p w14:paraId="395BBA4E">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11</w:t>
            </w:r>
            <w:r>
              <w:rPr>
                <w:rFonts w:hint="eastAsia" w:ascii="仿宋" w:hAnsi="仿宋" w:eastAsia="仿宋" w:cs="仿宋"/>
                <w:color w:val="auto"/>
                <w:sz w:val="28"/>
                <w:szCs w:val="28"/>
                <w:highlight w:val="none"/>
              </w:rPr>
              <w:t>、如中标人所配送食材造成人员食物中毒安全事故，经卫生检疫部门鉴定后证实属中标人责任，中标人承担全部法律责任及民事赔偿，以及依法承担由此产生的费用。</w:t>
            </w:r>
          </w:p>
          <w:p w14:paraId="4582A106">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12</w:t>
            </w:r>
            <w:r>
              <w:rPr>
                <w:rFonts w:hint="eastAsia" w:ascii="仿宋" w:hAnsi="仿宋" w:eastAsia="仿宋" w:cs="仿宋"/>
                <w:color w:val="auto"/>
                <w:sz w:val="28"/>
                <w:szCs w:val="28"/>
                <w:highlight w:val="none"/>
              </w:rPr>
              <w:t>、中标人需根据以上货品质量安全问题提供的完善的售后服务承诺，包括但不限于专线售后服务管理方案，专人服务，专人跟踪、服务时间安排、其它服务承诺等。</w:t>
            </w:r>
          </w:p>
          <w:p w14:paraId="65CF244E">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13</w:t>
            </w:r>
            <w:r>
              <w:rPr>
                <w:rFonts w:hint="eastAsia" w:ascii="仿宋" w:hAnsi="仿宋" w:eastAsia="仿宋" w:cs="仿宋"/>
                <w:color w:val="auto"/>
                <w:sz w:val="28"/>
                <w:szCs w:val="28"/>
                <w:highlight w:val="none"/>
              </w:rPr>
              <w:t>、中标人必须按照采购人要求的时间、数量品种、品质要求及协定的价格准时送货，经验收合格后签字确认，不能以任何理由推托，一旦影响到采购人饭堂的正常运转，中标人应承担相应的经济赔偿。</w:t>
            </w:r>
          </w:p>
          <w:p w14:paraId="2DAAD3CD">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14</w:t>
            </w:r>
            <w:r>
              <w:rPr>
                <w:rFonts w:hint="eastAsia" w:ascii="仿宋" w:hAnsi="仿宋" w:eastAsia="仿宋" w:cs="仿宋"/>
                <w:color w:val="auto"/>
                <w:sz w:val="28"/>
                <w:szCs w:val="28"/>
                <w:highlight w:val="none"/>
              </w:rPr>
              <w:t>、中标人必须在双方约定的时间内将货物送到采购人指定的地点，运输费用由中标人承担，如出现不合格、损坏的情况，由中标人负责及时调换。除发生客观不可抗力的情况外，中标人不得推迟送货。如确需延迟送货的，中标人应在得知情况的同时告知采购人并征得采购人书面同意，由于中标人延迟造成采购人利益受损的，采购人有权要求中标人赔偿。</w:t>
            </w:r>
          </w:p>
          <w:p w14:paraId="5C952FF5">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15</w:t>
            </w:r>
            <w:r>
              <w:rPr>
                <w:rFonts w:hint="eastAsia" w:ascii="仿宋" w:hAnsi="仿宋" w:eastAsia="仿宋" w:cs="仿宋"/>
                <w:color w:val="auto"/>
                <w:sz w:val="28"/>
                <w:szCs w:val="28"/>
                <w:highlight w:val="none"/>
              </w:rPr>
              <w:t>、中标人负责货品配送前的仓储，采购人不提供仓库。在采购人签收之前，货物的所有权和风险属于中标人，货物发生遗失、损坏由中标人负责。</w:t>
            </w:r>
          </w:p>
          <w:p w14:paraId="071DDE65">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16</w:t>
            </w:r>
            <w:r>
              <w:rPr>
                <w:rFonts w:hint="eastAsia" w:ascii="仿宋" w:hAnsi="仿宋" w:eastAsia="仿宋" w:cs="仿宋"/>
                <w:color w:val="auto"/>
                <w:sz w:val="28"/>
                <w:szCs w:val="28"/>
                <w:highlight w:val="none"/>
              </w:rPr>
              <w:t>、中标人需要严格按照采购人的订单配送货品，不得随意增减数量或改变品种。如因市场流通问题确实需要变更供货内容的，中标人应在得知情况的同时征得采购人同意后方可变更，否则，采购人有权拒收，由此产生的一切损失和费用由中标人承担。</w:t>
            </w:r>
          </w:p>
          <w:p w14:paraId="13A4813C">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FF0000"/>
                <w:sz w:val="28"/>
                <w:szCs w:val="28"/>
                <w:highlight w:val="none"/>
                <w:lang w:val="en-US" w:eastAsia="zh-CN"/>
              </w:rPr>
              <w:t>17</w:t>
            </w:r>
            <w:r>
              <w:rPr>
                <w:rFonts w:hint="eastAsia" w:ascii="仿宋" w:hAnsi="仿宋" w:eastAsia="仿宋" w:cs="仿宋"/>
                <w:color w:val="FF0000"/>
                <w:sz w:val="28"/>
                <w:szCs w:val="28"/>
                <w:highlight w:val="none"/>
              </w:rPr>
              <w:t>、中标人不能按核定的供货价交付的某些货品、不能提供与其承诺相符的服务或中标人存在违反合同的行为，并且在采购人要求的期限内不予纠正的，将取消其配送资格并终止合同，中标人不得有异议，在采购人确定新食材供货商前，协助提供一家合资质的食材供货商作临时补给，并确保食材按采购人要求及时供应到位。此项下违约行为包括但不限于下列各项：</w:t>
            </w:r>
          </w:p>
          <w:p w14:paraId="0CD462AE">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（1）中标人在收到采购人订货要求后，在承诺的供货时间内不能供货的。</w:t>
            </w:r>
          </w:p>
          <w:p w14:paraId="1802012F">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（2）中标人未能提供承诺的服务的。</w:t>
            </w:r>
          </w:p>
          <w:p w14:paraId="4BC16DFC">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（3）每月超过三次因数量或质量问题导致退换货品的。</w:t>
            </w:r>
          </w:p>
          <w:p w14:paraId="0E9BA2A8">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（4）中标人不能在约定时间内提供合法票据进行结算的。</w:t>
            </w:r>
          </w:p>
          <w:p w14:paraId="344543D7">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（5）中标人送货专员在采购人单位活动但不遵守采购人单位各项规章制度或做出有损采购人形象和利益的事情的。</w:t>
            </w:r>
          </w:p>
          <w:p w14:paraId="41F2A53A">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（6）中标人泄露采购人的信息的，泄密行为造成采购人损失的，中标人将承担由此产生的一切损失和法律责任。</w:t>
            </w:r>
          </w:p>
          <w:p w14:paraId="6C904A3E">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FF0000"/>
                <w:sz w:val="28"/>
                <w:szCs w:val="28"/>
                <w:highlight w:val="none"/>
              </w:rPr>
              <w:t>（7）因配送原材料问题，发生师生食物中毒等食材安全责任事故；或在原材料配送过程中，经核实存在故意掺杂作假，销售劣质、有害过期或无证食品等违规行为的；或虽然基于过失发生上述情况，但经采购人规劝，或经教育主管部门、市场监督管理部门要求整改仍再次发生的的。</w:t>
            </w:r>
          </w:p>
          <w:p w14:paraId="510834BD">
            <w:pPr>
              <w:spacing w:line="360" w:lineRule="auto"/>
              <w:ind w:firstLine="560" w:firstLineChars="200"/>
              <w:rPr>
                <w:rFonts w:hint="eastAsia" w:ascii="仿宋" w:hAnsi="仿宋" w:eastAsia="仿宋" w:cs="仿宋"/>
                <w:color w:val="FF0000"/>
                <w:sz w:val="28"/>
                <w:szCs w:val="28"/>
                <w:highlight w:val="none"/>
              </w:rPr>
            </w:pPr>
            <w:r>
              <w:rPr>
                <w:rFonts w:hint="eastAsia" w:ascii="仿宋" w:hAnsi="仿宋" w:eastAsia="仿宋" w:cs="仿宋"/>
                <w:color w:val="FF0000"/>
                <w:sz w:val="28"/>
                <w:szCs w:val="28"/>
                <w:highlight w:val="none"/>
              </w:rPr>
              <w:t>（8）在经营过程中，存在转包、分包和挂靠经营行为的。</w:t>
            </w:r>
          </w:p>
          <w:p w14:paraId="485E3A69">
            <w:pPr>
              <w:spacing w:line="360" w:lineRule="auto"/>
              <w:ind w:firstLine="560" w:firstLineChars="200"/>
              <w:rPr>
                <w:rFonts w:hint="eastAsia" w:ascii="仿宋" w:hAnsi="仿宋" w:eastAsia="仿宋" w:cs="仿宋"/>
                <w:color w:val="FF0000"/>
                <w:sz w:val="28"/>
                <w:szCs w:val="28"/>
                <w:highlight w:val="none"/>
              </w:rPr>
            </w:pPr>
            <w:r>
              <w:rPr>
                <w:rFonts w:hint="eastAsia" w:ascii="仿宋" w:hAnsi="仿宋" w:eastAsia="仿宋" w:cs="仿宋"/>
                <w:color w:val="FF0000"/>
                <w:sz w:val="28"/>
                <w:szCs w:val="28"/>
                <w:highlight w:val="none"/>
              </w:rPr>
              <w:t>（9）中标人经营情况发生变化已不符合准入条件而无法在采购人给予的限期内（法律法规对该情形的期限另有强制性规定的，从其规定）重新符合准入条件。</w:t>
            </w:r>
          </w:p>
          <w:p w14:paraId="2D89F754">
            <w:pPr>
              <w:spacing w:line="360" w:lineRule="auto"/>
              <w:ind w:firstLine="560" w:firstLineChars="200"/>
              <w:rPr>
                <w:rFonts w:hint="eastAsia" w:ascii="仿宋" w:hAnsi="仿宋" w:eastAsia="仿宋" w:cs="仿宋"/>
                <w:color w:val="FF0000"/>
                <w:sz w:val="28"/>
                <w:szCs w:val="28"/>
                <w:highlight w:val="none"/>
              </w:rPr>
            </w:pPr>
            <w:r>
              <w:rPr>
                <w:rFonts w:hint="eastAsia" w:ascii="仿宋" w:hAnsi="仿宋" w:eastAsia="仿宋" w:cs="仿宋"/>
                <w:color w:val="FF0000"/>
                <w:sz w:val="28"/>
                <w:szCs w:val="28"/>
                <w:highlight w:val="none"/>
              </w:rPr>
              <w:t>（10）若中标人无法按采购人要求供货时，采购人有权向市场其他机构开展采购，采购人不负违约责任；中标人无权对采购人的行为提出争议。采购人基于上述情况向其他主体开展采购的，不影响采购人解除权行使。</w:t>
            </w:r>
          </w:p>
          <w:p w14:paraId="73FFEBBE">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FF0000"/>
                <w:sz w:val="28"/>
                <w:szCs w:val="28"/>
                <w:highlight w:val="none"/>
              </w:rPr>
              <w:t>（11）中标人必须按要求完成食材配送，若有违反造成采购人停膳的，每停膳一天，中标人向采购人支付违约金人民币伍万元，并补偿由此造成的采购人损失。</w:t>
            </w:r>
          </w:p>
        </w:tc>
      </w:tr>
      <w:tr w14:paraId="3A37C3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453" w:type="pct"/>
            <w:vAlign w:val="center"/>
          </w:tcPr>
          <w:p w14:paraId="08A24838">
            <w:pPr>
              <w:spacing w:line="360" w:lineRule="auto"/>
              <w:jc w:val="center"/>
              <w:rPr>
                <w:rFonts w:hint="eastAsia" w:ascii="仿宋" w:hAnsi="仿宋" w:eastAsia="仿宋" w:cs="仿宋"/>
                <w:color w:val="auto"/>
                <w:sz w:val="28"/>
                <w:szCs w:val="28"/>
                <w:highlight w:val="none"/>
              </w:rPr>
            </w:pPr>
          </w:p>
        </w:tc>
        <w:tc>
          <w:tcPr>
            <w:tcW w:w="359" w:type="pct"/>
            <w:vAlign w:val="center"/>
          </w:tcPr>
          <w:p w14:paraId="0EC9B1BB">
            <w:pPr>
              <w:pStyle w:val="16"/>
              <w:spacing w:line="360" w:lineRule="auto"/>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w:t>
            </w:r>
          </w:p>
        </w:tc>
        <w:tc>
          <w:tcPr>
            <w:tcW w:w="4186" w:type="pct"/>
          </w:tcPr>
          <w:p w14:paraId="73A4DB70">
            <w:pPr>
              <w:spacing w:line="360" w:lineRule="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lang w:val="en-US" w:eastAsia="zh-CN"/>
              </w:rPr>
              <w:t>六</w:t>
            </w:r>
            <w:r>
              <w:rPr>
                <w:rFonts w:hint="eastAsia" w:ascii="仿宋" w:hAnsi="仿宋" w:eastAsia="仿宋" w:cs="仿宋"/>
                <w:b/>
                <w:bCs/>
                <w:color w:val="auto"/>
                <w:sz w:val="28"/>
                <w:szCs w:val="28"/>
                <w:highlight w:val="none"/>
              </w:rPr>
              <w:t>、其他要求</w:t>
            </w:r>
          </w:p>
          <w:p w14:paraId="17ABD6F6">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1、中标人不得将中标项目转包或分包给他人，一经发现,采购人有权终止合同，由此产生的一切经济损失由中标人自行承担。</w:t>
            </w:r>
          </w:p>
          <w:p w14:paraId="268D8BB0">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中标人除不可抗力，不得因其他任何理由延迟送货。采购人如遇特殊情况需推迟送货，应提前通知中标人。因中标人原因延误交货日期的（采购人要求推迟的除外），采购人有权自行采购，并由采购人承担由此产生的一切损失和费用。</w:t>
            </w:r>
          </w:p>
          <w:p w14:paraId="14544923">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3、中标人必须按采购人每次订购物品的数量、种类进行供货，不得出现短斤缺两，或故意多送、错送，否则中标人需自行承担相关后果。</w:t>
            </w:r>
          </w:p>
          <w:p w14:paraId="5F494D9D">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4、如遇特殊接待任务或特殊时期工作要求的，中标人需无条件配合采购人的要求，增派人员、第一时间完成采购人交待的任务。</w:t>
            </w:r>
          </w:p>
          <w:p w14:paraId="5AF6A641">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5、中标人应具有固定的销售服务人员及运输能力，</w:t>
            </w:r>
            <w:r>
              <w:rPr>
                <w:rFonts w:hint="eastAsia" w:ascii="仿宋" w:hAnsi="仿宋" w:eastAsia="仿宋" w:cs="仿宋"/>
                <w:color w:val="auto"/>
                <w:sz w:val="28"/>
                <w:szCs w:val="28"/>
                <w:highlight w:val="none"/>
                <w:lang w:val="en-US" w:eastAsia="zh-CN"/>
              </w:rPr>
              <w:t>中标人服务人员具有食品安全相关专业能力，具有食品安全管理师/员证书，货品</w:t>
            </w:r>
            <w:r>
              <w:rPr>
                <w:rFonts w:hint="eastAsia" w:ascii="仿宋" w:hAnsi="仿宋" w:eastAsia="仿宋" w:cs="仿宋"/>
                <w:color w:val="auto"/>
                <w:sz w:val="28"/>
                <w:szCs w:val="28"/>
                <w:highlight w:val="none"/>
              </w:rPr>
              <w:t>愿意接受相关质检单位的商品质量检测。中标人必须指派相对固定的人员完成货物配送服务，并需将配送人员的详细资料报采购人备案，货物配送人员必须遵纪守法、品行良好，无违法犯罪记录。</w:t>
            </w:r>
          </w:p>
          <w:p w14:paraId="073439A4">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6、中标人应对本项目服务及服务人员制定相应的规章和管理制度，例如：服务标准、泄密处理、仪容仪表规范及人员奖惩制度等。</w:t>
            </w:r>
          </w:p>
          <w:p w14:paraId="5281DE0A">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7、投标人针对食材仓储、分拣、配送环节中可能出现的突发情况（如突发停电、台风、暴雨、火灾等导致的仓储、分拣、配送困难或食材短缺；突发车辆故障、交通事故、临时封路等导致的配送困难等情形），这对上述情形应有相应的处置措施；针对食材流通和使用环节可能会出现的质量问题（如仓储、运具不达标致使食材变得不合格等），应有相应的处置措施；针对台风、暴雨等恶劣天气，应有相应的配送保障措施；针对配送人员在配送途中突发车辆故障、交通事故等情况，应有相应的人员替换保障措施。</w:t>
            </w:r>
          </w:p>
          <w:p w14:paraId="5C50B151">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8、针对项目履约中的突发情况（如：食品安全事故、临时配送任务等采购人要求的其他情形），供应商需在接到采购人通知后3小时内响应并到达采购人指定地点。</w:t>
            </w:r>
          </w:p>
        </w:tc>
      </w:tr>
      <w:tr w14:paraId="789E7B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752" w:hRule="atLeast"/>
          <w:jc w:val="center"/>
        </w:trPr>
        <w:tc>
          <w:tcPr>
            <w:tcW w:w="453" w:type="pct"/>
            <w:vAlign w:val="center"/>
          </w:tcPr>
          <w:p w14:paraId="3217477A">
            <w:pPr>
              <w:spacing w:line="360" w:lineRule="auto"/>
              <w:jc w:val="center"/>
              <w:rPr>
                <w:rFonts w:hint="eastAsia" w:ascii="仿宋" w:hAnsi="仿宋" w:eastAsia="仿宋" w:cs="仿宋"/>
                <w:color w:val="auto"/>
                <w:sz w:val="28"/>
                <w:szCs w:val="28"/>
                <w:highlight w:val="none"/>
              </w:rPr>
            </w:pPr>
          </w:p>
        </w:tc>
        <w:tc>
          <w:tcPr>
            <w:tcW w:w="359" w:type="pct"/>
            <w:vAlign w:val="center"/>
          </w:tcPr>
          <w:p w14:paraId="43CDF4C9">
            <w:pPr>
              <w:pStyle w:val="16"/>
              <w:spacing w:line="360" w:lineRule="auto"/>
              <w:jc w:val="center"/>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val="en-US" w:eastAsia="zh-CN"/>
              </w:rPr>
              <w:t>7</w:t>
            </w:r>
          </w:p>
        </w:tc>
        <w:tc>
          <w:tcPr>
            <w:tcW w:w="4186" w:type="pct"/>
          </w:tcPr>
          <w:p w14:paraId="2C9BEF5F">
            <w:pPr>
              <w:pStyle w:val="16"/>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lang w:eastAsia="zh-CN"/>
              </w:rPr>
              <w:t>七</w:t>
            </w:r>
            <w:r>
              <w:rPr>
                <w:rFonts w:hint="eastAsia" w:ascii="仿宋" w:hAnsi="仿宋" w:eastAsia="仿宋" w:cs="仿宋"/>
                <w:b/>
                <w:color w:val="auto"/>
                <w:sz w:val="28"/>
                <w:szCs w:val="28"/>
                <w:highlight w:val="none"/>
              </w:rPr>
              <w:t>、食材配送考核表</w:t>
            </w:r>
          </w:p>
          <w:tbl>
            <w:tblPr>
              <w:tblStyle w:val="12"/>
              <w:tblW w:w="7367" w:type="dxa"/>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1316"/>
              <w:gridCol w:w="4087"/>
              <w:gridCol w:w="1337"/>
              <w:gridCol w:w="627"/>
            </w:tblGrid>
            <w:tr w14:paraId="384BEF5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3" w:type="pct"/>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center"/>
                </w:tcPr>
                <w:p w14:paraId="42F36540">
                  <w:pPr>
                    <w:pStyle w:val="16"/>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供应商名称</w:t>
                  </w:r>
                </w:p>
              </w:tc>
              <w:tc>
                <w:tcPr>
                  <w:tcW w:w="2773" w:type="pct"/>
                  <w:tcBorders>
                    <w:top w:val="single" w:color="000000" w:sz="4" w:space="0"/>
                    <w:left w:val="nil"/>
                    <w:bottom w:val="single" w:color="000000" w:sz="4" w:space="0"/>
                    <w:right w:val="single" w:color="000000" w:sz="4" w:space="0"/>
                  </w:tcBorders>
                  <w:tcMar>
                    <w:top w:w="0" w:type="dxa"/>
                    <w:left w:w="105" w:type="dxa"/>
                    <w:bottom w:w="0" w:type="dxa"/>
                    <w:right w:w="105" w:type="dxa"/>
                  </w:tcMar>
                  <w:vAlign w:val="center"/>
                </w:tcPr>
                <w:p w14:paraId="6C62E3AA">
                  <w:pPr>
                    <w:pStyle w:val="16"/>
                    <w:jc w:val="center"/>
                    <w:rPr>
                      <w:rFonts w:hint="eastAsia" w:ascii="仿宋" w:hAnsi="仿宋" w:eastAsia="仿宋" w:cs="仿宋"/>
                      <w:color w:val="auto"/>
                      <w:sz w:val="28"/>
                      <w:szCs w:val="28"/>
                      <w:highlight w:val="none"/>
                    </w:rPr>
                  </w:pPr>
                </w:p>
              </w:tc>
              <w:tc>
                <w:tcPr>
                  <w:tcW w:w="907" w:type="pct"/>
                  <w:tcBorders>
                    <w:top w:val="single" w:color="000000" w:sz="4" w:space="0"/>
                    <w:left w:val="nil"/>
                    <w:bottom w:val="single" w:color="000000" w:sz="4" w:space="0"/>
                    <w:right w:val="single" w:color="000000" w:sz="4" w:space="0"/>
                  </w:tcBorders>
                  <w:tcMar>
                    <w:top w:w="0" w:type="dxa"/>
                    <w:left w:w="105" w:type="dxa"/>
                    <w:bottom w:w="0" w:type="dxa"/>
                    <w:right w:w="105" w:type="dxa"/>
                  </w:tcMar>
                  <w:vAlign w:val="center"/>
                </w:tcPr>
                <w:p w14:paraId="6371F59F">
                  <w:pPr>
                    <w:pStyle w:val="16"/>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评价时间</w:t>
                  </w:r>
                </w:p>
              </w:tc>
              <w:tc>
                <w:tcPr>
                  <w:tcW w:w="425" w:type="pct"/>
                  <w:tcBorders>
                    <w:top w:val="single" w:color="000000" w:sz="4" w:space="0"/>
                    <w:left w:val="nil"/>
                    <w:bottom w:val="single" w:color="000000" w:sz="4" w:space="0"/>
                    <w:right w:val="single" w:color="000000" w:sz="4" w:space="0"/>
                  </w:tcBorders>
                  <w:tcMar>
                    <w:top w:w="0" w:type="dxa"/>
                    <w:left w:w="105" w:type="dxa"/>
                    <w:bottom w:w="0" w:type="dxa"/>
                    <w:right w:w="105" w:type="dxa"/>
                  </w:tcMar>
                  <w:vAlign w:val="center"/>
                </w:tcPr>
                <w:p w14:paraId="4CB65DF6">
                  <w:pPr>
                    <w:pStyle w:val="16"/>
                    <w:jc w:val="center"/>
                    <w:rPr>
                      <w:rFonts w:hint="eastAsia" w:ascii="仿宋" w:hAnsi="仿宋" w:eastAsia="仿宋" w:cs="仿宋"/>
                      <w:color w:val="auto"/>
                      <w:sz w:val="28"/>
                      <w:szCs w:val="28"/>
                      <w:highlight w:val="none"/>
                    </w:rPr>
                  </w:pPr>
                </w:p>
              </w:tc>
            </w:tr>
            <w:tr w14:paraId="61F64CE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3"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14:paraId="2375A820">
                  <w:pPr>
                    <w:pStyle w:val="16"/>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供货种类</w:t>
                  </w:r>
                </w:p>
              </w:tc>
              <w:tc>
                <w:tcPr>
                  <w:tcW w:w="2773" w:type="pct"/>
                  <w:tcBorders>
                    <w:top w:val="nil"/>
                    <w:left w:val="nil"/>
                    <w:bottom w:val="single" w:color="000000" w:sz="4" w:space="0"/>
                    <w:right w:val="single" w:color="000000" w:sz="4" w:space="0"/>
                  </w:tcBorders>
                  <w:tcMar>
                    <w:top w:w="0" w:type="dxa"/>
                    <w:left w:w="105" w:type="dxa"/>
                    <w:bottom w:w="0" w:type="dxa"/>
                    <w:right w:w="105" w:type="dxa"/>
                  </w:tcMar>
                  <w:vAlign w:val="center"/>
                </w:tcPr>
                <w:p w14:paraId="4DFAB81F">
                  <w:pPr>
                    <w:pStyle w:val="16"/>
                    <w:jc w:val="center"/>
                    <w:rPr>
                      <w:rFonts w:hint="eastAsia" w:ascii="仿宋" w:hAnsi="仿宋" w:eastAsia="仿宋" w:cs="仿宋"/>
                      <w:color w:val="auto"/>
                      <w:sz w:val="28"/>
                      <w:szCs w:val="28"/>
                      <w:highlight w:val="none"/>
                    </w:rPr>
                  </w:pPr>
                </w:p>
              </w:tc>
              <w:tc>
                <w:tcPr>
                  <w:tcW w:w="907" w:type="pct"/>
                  <w:tcBorders>
                    <w:top w:val="nil"/>
                    <w:left w:val="nil"/>
                    <w:bottom w:val="single" w:color="000000" w:sz="4" w:space="0"/>
                    <w:right w:val="single" w:color="000000" w:sz="4" w:space="0"/>
                  </w:tcBorders>
                  <w:tcMar>
                    <w:top w:w="0" w:type="dxa"/>
                    <w:left w:w="105" w:type="dxa"/>
                    <w:bottom w:w="0" w:type="dxa"/>
                    <w:right w:w="105" w:type="dxa"/>
                  </w:tcMar>
                  <w:vAlign w:val="center"/>
                </w:tcPr>
                <w:p w14:paraId="53E43835">
                  <w:pPr>
                    <w:pStyle w:val="16"/>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供货月份</w:t>
                  </w:r>
                </w:p>
              </w:tc>
              <w:tc>
                <w:tcPr>
                  <w:tcW w:w="425" w:type="pct"/>
                  <w:tcBorders>
                    <w:top w:val="nil"/>
                    <w:left w:val="nil"/>
                    <w:bottom w:val="single" w:color="000000" w:sz="4" w:space="0"/>
                    <w:right w:val="single" w:color="000000" w:sz="4" w:space="0"/>
                  </w:tcBorders>
                  <w:tcMar>
                    <w:top w:w="0" w:type="dxa"/>
                    <w:left w:w="105" w:type="dxa"/>
                    <w:bottom w:w="0" w:type="dxa"/>
                    <w:right w:w="105" w:type="dxa"/>
                  </w:tcMar>
                  <w:vAlign w:val="center"/>
                </w:tcPr>
                <w:p w14:paraId="46B901B0">
                  <w:pPr>
                    <w:pStyle w:val="16"/>
                    <w:jc w:val="center"/>
                    <w:rPr>
                      <w:rFonts w:hint="eastAsia" w:ascii="仿宋" w:hAnsi="仿宋" w:eastAsia="仿宋" w:cs="仿宋"/>
                      <w:color w:val="auto"/>
                      <w:sz w:val="28"/>
                      <w:szCs w:val="28"/>
                      <w:highlight w:val="none"/>
                    </w:rPr>
                  </w:pPr>
                </w:p>
              </w:tc>
            </w:tr>
            <w:tr w14:paraId="460AA65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3"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14:paraId="082EF53A">
                  <w:pPr>
                    <w:pStyle w:val="16"/>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评价指标</w:t>
                  </w:r>
                </w:p>
              </w:tc>
              <w:tc>
                <w:tcPr>
                  <w:tcW w:w="2773" w:type="pct"/>
                  <w:tcBorders>
                    <w:top w:val="nil"/>
                    <w:left w:val="nil"/>
                    <w:bottom w:val="single" w:color="000000" w:sz="4" w:space="0"/>
                    <w:right w:val="single" w:color="000000" w:sz="4" w:space="0"/>
                  </w:tcBorders>
                  <w:tcMar>
                    <w:top w:w="0" w:type="dxa"/>
                    <w:left w:w="105" w:type="dxa"/>
                    <w:bottom w:w="0" w:type="dxa"/>
                    <w:right w:w="105" w:type="dxa"/>
                  </w:tcMar>
                  <w:vAlign w:val="center"/>
                </w:tcPr>
                <w:p w14:paraId="6EDEE2D0">
                  <w:pPr>
                    <w:pStyle w:val="16"/>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指标说明</w:t>
                  </w:r>
                </w:p>
              </w:tc>
              <w:tc>
                <w:tcPr>
                  <w:tcW w:w="907" w:type="pct"/>
                  <w:tcBorders>
                    <w:top w:val="nil"/>
                    <w:left w:val="nil"/>
                    <w:bottom w:val="single" w:color="000000" w:sz="4" w:space="0"/>
                    <w:right w:val="single" w:color="000000" w:sz="4" w:space="0"/>
                  </w:tcBorders>
                  <w:tcMar>
                    <w:top w:w="0" w:type="dxa"/>
                    <w:left w:w="105" w:type="dxa"/>
                    <w:bottom w:w="0" w:type="dxa"/>
                    <w:right w:w="105" w:type="dxa"/>
                  </w:tcMar>
                  <w:vAlign w:val="center"/>
                </w:tcPr>
                <w:p w14:paraId="111570BD">
                  <w:pPr>
                    <w:pStyle w:val="16"/>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得分</w:t>
                  </w:r>
                </w:p>
              </w:tc>
              <w:tc>
                <w:tcPr>
                  <w:tcW w:w="425" w:type="pct"/>
                  <w:tcBorders>
                    <w:top w:val="nil"/>
                    <w:left w:val="nil"/>
                    <w:bottom w:val="single" w:color="000000" w:sz="4" w:space="0"/>
                    <w:right w:val="single" w:color="000000" w:sz="4" w:space="0"/>
                  </w:tcBorders>
                  <w:tcMar>
                    <w:top w:w="0" w:type="dxa"/>
                    <w:left w:w="105" w:type="dxa"/>
                    <w:bottom w:w="0" w:type="dxa"/>
                    <w:right w:w="105" w:type="dxa"/>
                  </w:tcMar>
                  <w:vAlign w:val="center"/>
                </w:tcPr>
                <w:p w14:paraId="571A8CE7">
                  <w:pPr>
                    <w:pStyle w:val="16"/>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备注</w:t>
                  </w:r>
                </w:p>
              </w:tc>
            </w:tr>
            <w:tr w14:paraId="395CF98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3"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A52ACD2">
                  <w:pPr>
                    <w:pStyle w:val="16"/>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送货及时性</w:t>
                  </w:r>
                </w:p>
                <w:p w14:paraId="610A9471">
                  <w:pPr>
                    <w:pStyle w:val="16"/>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(满分20分)</w:t>
                  </w:r>
                </w:p>
              </w:tc>
              <w:tc>
                <w:tcPr>
                  <w:tcW w:w="2773" w:type="pct"/>
                  <w:tcBorders>
                    <w:top w:val="nil"/>
                    <w:left w:val="nil"/>
                    <w:bottom w:val="single" w:color="000000" w:sz="4" w:space="0"/>
                    <w:right w:val="single" w:color="000000" w:sz="4" w:space="0"/>
                  </w:tcBorders>
                  <w:tcMar>
                    <w:top w:w="0" w:type="dxa"/>
                    <w:left w:w="105" w:type="dxa"/>
                    <w:bottom w:w="0" w:type="dxa"/>
                    <w:right w:w="105" w:type="dxa"/>
                  </w:tcMar>
                  <w:vAlign w:val="center"/>
                </w:tcPr>
                <w:p w14:paraId="3C5AB3B9">
                  <w:pPr>
                    <w:pStyle w:val="16"/>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要求按时送货：</w:t>
                  </w:r>
                </w:p>
                <w:p w14:paraId="55810892">
                  <w:pPr>
                    <w:pStyle w:val="16"/>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1、送货迟到，但不耽误</w:t>
                  </w:r>
                  <w:r>
                    <w:rPr>
                      <w:rFonts w:hint="eastAsia" w:ascii="仿宋" w:hAnsi="仿宋" w:eastAsia="仿宋" w:cs="仿宋"/>
                      <w:color w:val="auto"/>
                      <w:sz w:val="28"/>
                      <w:szCs w:val="28"/>
                      <w:highlight w:val="none"/>
                      <w:lang w:val="en-US" w:eastAsia="zh-CN"/>
                    </w:rPr>
                    <w:t>采购人</w:t>
                  </w:r>
                  <w:r>
                    <w:rPr>
                      <w:rFonts w:hint="eastAsia" w:ascii="仿宋" w:hAnsi="仿宋" w:eastAsia="仿宋" w:cs="仿宋"/>
                      <w:color w:val="auto"/>
                      <w:sz w:val="28"/>
                      <w:szCs w:val="28"/>
                      <w:highlight w:val="none"/>
                    </w:rPr>
                    <w:t>工作的，每迟到一次扣2分；</w:t>
                  </w:r>
                </w:p>
                <w:p w14:paraId="7C427D46">
                  <w:pPr>
                    <w:pStyle w:val="16"/>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2、送货迟到，且耽误</w:t>
                  </w:r>
                  <w:r>
                    <w:rPr>
                      <w:rFonts w:hint="eastAsia" w:ascii="仿宋" w:hAnsi="仿宋" w:eastAsia="仿宋" w:cs="仿宋"/>
                      <w:color w:val="auto"/>
                      <w:sz w:val="28"/>
                      <w:szCs w:val="28"/>
                      <w:highlight w:val="none"/>
                      <w:lang w:val="en-US" w:eastAsia="zh-CN"/>
                    </w:rPr>
                    <w:t>采购人</w:t>
                  </w:r>
                  <w:r>
                    <w:rPr>
                      <w:rFonts w:hint="eastAsia" w:ascii="仿宋" w:hAnsi="仿宋" w:eastAsia="仿宋" w:cs="仿宋"/>
                      <w:color w:val="auto"/>
                      <w:sz w:val="28"/>
                      <w:szCs w:val="28"/>
                      <w:highlight w:val="none"/>
                    </w:rPr>
                    <w:t>工作的，每迟到一次扣5分；</w:t>
                  </w:r>
                </w:p>
                <w:p w14:paraId="4094BFBD">
                  <w:pPr>
                    <w:pStyle w:val="16"/>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3、送到货品，装箱脏乱差，影响货品卫生、质量，每次扣2分。</w:t>
                  </w:r>
                </w:p>
              </w:tc>
              <w:tc>
                <w:tcPr>
                  <w:tcW w:w="907" w:type="pct"/>
                  <w:tcBorders>
                    <w:top w:val="nil"/>
                    <w:left w:val="nil"/>
                    <w:bottom w:val="single" w:color="000000" w:sz="4" w:space="0"/>
                    <w:right w:val="single" w:color="000000" w:sz="4" w:space="0"/>
                  </w:tcBorders>
                  <w:tcMar>
                    <w:top w:w="0" w:type="dxa"/>
                    <w:left w:w="105" w:type="dxa"/>
                    <w:bottom w:w="0" w:type="dxa"/>
                    <w:right w:w="105" w:type="dxa"/>
                  </w:tcMar>
                  <w:vAlign w:val="top"/>
                </w:tcPr>
                <w:p w14:paraId="776125DD">
                  <w:pPr>
                    <w:pStyle w:val="16"/>
                    <w:jc w:val="both"/>
                    <w:rPr>
                      <w:rFonts w:hint="eastAsia" w:ascii="仿宋" w:hAnsi="仿宋" w:eastAsia="仿宋" w:cs="仿宋"/>
                      <w:color w:val="auto"/>
                      <w:sz w:val="28"/>
                      <w:szCs w:val="28"/>
                      <w:highlight w:val="none"/>
                    </w:rPr>
                  </w:pPr>
                </w:p>
              </w:tc>
              <w:tc>
                <w:tcPr>
                  <w:tcW w:w="425" w:type="pct"/>
                  <w:tcBorders>
                    <w:top w:val="nil"/>
                    <w:left w:val="nil"/>
                    <w:bottom w:val="single" w:color="000000" w:sz="4" w:space="0"/>
                    <w:right w:val="single" w:color="000000" w:sz="4" w:space="0"/>
                  </w:tcBorders>
                  <w:tcMar>
                    <w:top w:w="0" w:type="dxa"/>
                    <w:left w:w="105" w:type="dxa"/>
                    <w:bottom w:w="0" w:type="dxa"/>
                    <w:right w:w="105" w:type="dxa"/>
                  </w:tcMar>
                  <w:vAlign w:val="top"/>
                </w:tcPr>
                <w:p w14:paraId="026E96F2">
                  <w:pPr>
                    <w:rPr>
                      <w:rFonts w:hint="eastAsia" w:ascii="仿宋" w:hAnsi="仿宋" w:eastAsia="仿宋" w:cs="仿宋"/>
                      <w:color w:val="auto"/>
                      <w:sz w:val="28"/>
                      <w:szCs w:val="28"/>
                      <w:highlight w:val="none"/>
                    </w:rPr>
                  </w:pPr>
                </w:p>
              </w:tc>
            </w:tr>
            <w:tr w14:paraId="0AAF757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3"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B1E34F0">
                  <w:pPr>
                    <w:pStyle w:val="16"/>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货品质量</w:t>
                  </w:r>
                </w:p>
                <w:p w14:paraId="69D1FD43">
                  <w:pPr>
                    <w:pStyle w:val="16"/>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(满分20分)</w:t>
                  </w:r>
                </w:p>
              </w:tc>
              <w:tc>
                <w:tcPr>
                  <w:tcW w:w="2773" w:type="pct"/>
                  <w:tcBorders>
                    <w:top w:val="nil"/>
                    <w:left w:val="nil"/>
                    <w:bottom w:val="single" w:color="000000" w:sz="4" w:space="0"/>
                    <w:right w:val="single" w:color="000000" w:sz="4" w:space="0"/>
                  </w:tcBorders>
                  <w:tcMar>
                    <w:top w:w="0" w:type="dxa"/>
                    <w:left w:w="105" w:type="dxa"/>
                    <w:bottom w:w="0" w:type="dxa"/>
                    <w:right w:w="105" w:type="dxa"/>
                  </w:tcMar>
                  <w:vAlign w:val="center"/>
                </w:tcPr>
                <w:p w14:paraId="0E341FE8">
                  <w:pPr>
                    <w:pStyle w:val="16"/>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要求货品新鲜、质优：</w:t>
                  </w:r>
                </w:p>
                <w:p w14:paraId="63506941">
                  <w:pPr>
                    <w:pStyle w:val="16"/>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1、送来货品，品相一般，但都可使用，未变质，每次扣1分；</w:t>
                  </w:r>
                </w:p>
                <w:p w14:paraId="6ACA835F">
                  <w:pPr>
                    <w:pStyle w:val="16"/>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2、送来货品，品相较差，但都可使用，未变质，每次扣2分；</w:t>
                  </w:r>
                </w:p>
                <w:p w14:paraId="4707B8FD">
                  <w:pPr>
                    <w:pStyle w:val="16"/>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3、送来货品，品质差，不能使用，未变质，每次扣3分；</w:t>
                  </w:r>
                </w:p>
                <w:p w14:paraId="46A25344">
                  <w:pPr>
                    <w:pStyle w:val="16"/>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4、送来货品，剩余保质期不超过该货品标明的保质期的</w:t>
                  </w:r>
                  <w:r>
                    <w:rPr>
                      <w:rFonts w:hint="eastAsia" w:ascii="仿宋" w:hAnsi="仿宋" w:eastAsia="仿宋" w:cs="仿宋"/>
                      <w:color w:val="auto"/>
                      <w:sz w:val="28"/>
                      <w:szCs w:val="28"/>
                      <w:highlight w:val="none"/>
                      <w:lang w:val="en-US" w:eastAsia="zh-CN"/>
                    </w:rPr>
                    <w:t>80%</w:t>
                  </w:r>
                  <w:r>
                    <w:rPr>
                      <w:rFonts w:hint="eastAsia" w:ascii="仿宋" w:hAnsi="仿宋" w:eastAsia="仿宋" w:cs="仿宋"/>
                      <w:color w:val="auto"/>
                      <w:sz w:val="28"/>
                      <w:szCs w:val="28"/>
                      <w:highlight w:val="none"/>
                    </w:rPr>
                    <w:t>，每次扣5分；</w:t>
                  </w:r>
                </w:p>
                <w:p w14:paraId="69994B6D">
                  <w:pPr>
                    <w:pStyle w:val="16"/>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5、送来货品，过期或变质，每次扣15分；</w:t>
                  </w:r>
                </w:p>
                <w:p w14:paraId="2A26A541">
                  <w:pPr>
                    <w:pStyle w:val="16"/>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6、送来货品，应符合国家食品卫生标准，提供质检合格证明，每次不符合扣10分。</w:t>
                  </w:r>
                </w:p>
              </w:tc>
              <w:tc>
                <w:tcPr>
                  <w:tcW w:w="907" w:type="pct"/>
                  <w:tcBorders>
                    <w:top w:val="nil"/>
                    <w:left w:val="nil"/>
                    <w:bottom w:val="single" w:color="000000" w:sz="4" w:space="0"/>
                    <w:right w:val="single" w:color="000000" w:sz="4" w:space="0"/>
                  </w:tcBorders>
                  <w:tcMar>
                    <w:top w:w="0" w:type="dxa"/>
                    <w:left w:w="105" w:type="dxa"/>
                    <w:bottom w:w="0" w:type="dxa"/>
                    <w:right w:w="105" w:type="dxa"/>
                  </w:tcMar>
                  <w:vAlign w:val="top"/>
                </w:tcPr>
                <w:p w14:paraId="092CEB18">
                  <w:pPr>
                    <w:pStyle w:val="16"/>
                    <w:jc w:val="both"/>
                    <w:rPr>
                      <w:rFonts w:hint="eastAsia" w:ascii="仿宋" w:hAnsi="仿宋" w:eastAsia="仿宋" w:cs="仿宋"/>
                      <w:color w:val="auto"/>
                      <w:sz w:val="28"/>
                      <w:szCs w:val="28"/>
                      <w:highlight w:val="none"/>
                    </w:rPr>
                  </w:pPr>
                </w:p>
              </w:tc>
              <w:tc>
                <w:tcPr>
                  <w:tcW w:w="425" w:type="pct"/>
                  <w:tcBorders>
                    <w:top w:val="nil"/>
                    <w:left w:val="nil"/>
                    <w:bottom w:val="single" w:color="000000" w:sz="4" w:space="0"/>
                    <w:right w:val="single" w:color="000000" w:sz="4" w:space="0"/>
                  </w:tcBorders>
                  <w:tcMar>
                    <w:top w:w="0" w:type="dxa"/>
                    <w:left w:w="105" w:type="dxa"/>
                    <w:bottom w:w="0" w:type="dxa"/>
                    <w:right w:w="105" w:type="dxa"/>
                  </w:tcMar>
                  <w:vAlign w:val="top"/>
                </w:tcPr>
                <w:p w14:paraId="446237B7">
                  <w:pPr>
                    <w:rPr>
                      <w:rFonts w:hint="eastAsia" w:ascii="仿宋" w:hAnsi="仿宋" w:eastAsia="仿宋" w:cs="仿宋"/>
                      <w:color w:val="auto"/>
                      <w:sz w:val="28"/>
                      <w:szCs w:val="28"/>
                      <w:highlight w:val="none"/>
                    </w:rPr>
                  </w:pPr>
                </w:p>
              </w:tc>
            </w:tr>
            <w:tr w14:paraId="1E36F81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3"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27B041E">
                  <w:pPr>
                    <w:pStyle w:val="16"/>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货品数量</w:t>
                  </w:r>
                </w:p>
                <w:p w14:paraId="5A74A532">
                  <w:pPr>
                    <w:pStyle w:val="16"/>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(满分20分)</w:t>
                  </w:r>
                </w:p>
              </w:tc>
              <w:tc>
                <w:tcPr>
                  <w:tcW w:w="2773" w:type="pct"/>
                  <w:tcBorders>
                    <w:top w:val="nil"/>
                    <w:left w:val="nil"/>
                    <w:bottom w:val="single" w:color="000000" w:sz="4" w:space="0"/>
                    <w:right w:val="single" w:color="000000" w:sz="4" w:space="0"/>
                  </w:tcBorders>
                  <w:tcMar>
                    <w:top w:w="0" w:type="dxa"/>
                    <w:left w:w="105" w:type="dxa"/>
                    <w:bottom w:w="0" w:type="dxa"/>
                    <w:right w:w="105" w:type="dxa"/>
                  </w:tcMar>
                  <w:vAlign w:val="center"/>
                </w:tcPr>
                <w:p w14:paraId="1C579E25">
                  <w:pPr>
                    <w:pStyle w:val="16"/>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要求按订单供应准确数量（允许误差±5%内）：</w:t>
                  </w:r>
                </w:p>
                <w:p w14:paraId="6F9013F1">
                  <w:pPr>
                    <w:pStyle w:val="16"/>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1、±5%≤供货数量误差≤±10%，每次扣1分；</w:t>
                  </w:r>
                </w:p>
                <w:p w14:paraId="6DAD2C5E">
                  <w:pPr>
                    <w:pStyle w:val="16"/>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2、±10%＜供货数量误差≤±20%，每次扣2分</w:t>
                  </w:r>
                </w:p>
                <w:p w14:paraId="76F1DA4C">
                  <w:pPr>
                    <w:pStyle w:val="16"/>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3、供货数量误＞±20%，每次扣3分。</w:t>
                  </w:r>
                </w:p>
              </w:tc>
              <w:tc>
                <w:tcPr>
                  <w:tcW w:w="907" w:type="pct"/>
                  <w:tcBorders>
                    <w:top w:val="nil"/>
                    <w:left w:val="nil"/>
                    <w:bottom w:val="single" w:color="000000" w:sz="4" w:space="0"/>
                    <w:right w:val="single" w:color="000000" w:sz="4" w:space="0"/>
                  </w:tcBorders>
                  <w:tcMar>
                    <w:top w:w="0" w:type="dxa"/>
                    <w:left w:w="105" w:type="dxa"/>
                    <w:bottom w:w="0" w:type="dxa"/>
                    <w:right w:w="105" w:type="dxa"/>
                  </w:tcMar>
                  <w:vAlign w:val="top"/>
                </w:tcPr>
                <w:p w14:paraId="7A86977B">
                  <w:pPr>
                    <w:pStyle w:val="16"/>
                    <w:jc w:val="both"/>
                    <w:rPr>
                      <w:rFonts w:hint="eastAsia" w:ascii="仿宋" w:hAnsi="仿宋" w:eastAsia="仿宋" w:cs="仿宋"/>
                      <w:color w:val="auto"/>
                      <w:sz w:val="28"/>
                      <w:szCs w:val="28"/>
                      <w:highlight w:val="none"/>
                    </w:rPr>
                  </w:pPr>
                </w:p>
              </w:tc>
              <w:tc>
                <w:tcPr>
                  <w:tcW w:w="425" w:type="pct"/>
                  <w:tcBorders>
                    <w:top w:val="nil"/>
                    <w:left w:val="nil"/>
                    <w:bottom w:val="single" w:color="000000" w:sz="4" w:space="0"/>
                    <w:right w:val="single" w:color="000000" w:sz="4" w:space="0"/>
                  </w:tcBorders>
                  <w:tcMar>
                    <w:top w:w="0" w:type="dxa"/>
                    <w:left w:w="105" w:type="dxa"/>
                    <w:bottom w:w="0" w:type="dxa"/>
                    <w:right w:w="105" w:type="dxa"/>
                  </w:tcMar>
                  <w:vAlign w:val="top"/>
                </w:tcPr>
                <w:p w14:paraId="533487E2">
                  <w:pPr>
                    <w:rPr>
                      <w:rFonts w:hint="eastAsia" w:ascii="仿宋" w:hAnsi="仿宋" w:eastAsia="仿宋" w:cs="仿宋"/>
                      <w:color w:val="auto"/>
                      <w:sz w:val="28"/>
                      <w:szCs w:val="28"/>
                      <w:highlight w:val="none"/>
                    </w:rPr>
                  </w:pPr>
                </w:p>
              </w:tc>
            </w:tr>
            <w:tr w14:paraId="6677020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3"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1F1DEB8">
                  <w:pPr>
                    <w:pStyle w:val="16"/>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货品规格</w:t>
                  </w:r>
                </w:p>
                <w:p w14:paraId="1CE65D2F">
                  <w:pPr>
                    <w:pStyle w:val="16"/>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（满10分）</w:t>
                  </w:r>
                </w:p>
              </w:tc>
              <w:tc>
                <w:tcPr>
                  <w:tcW w:w="2773" w:type="pct"/>
                  <w:tcBorders>
                    <w:top w:val="nil"/>
                    <w:left w:val="nil"/>
                    <w:bottom w:val="single" w:color="000000" w:sz="4" w:space="0"/>
                    <w:right w:val="single" w:color="000000" w:sz="4" w:space="0"/>
                  </w:tcBorders>
                  <w:tcMar>
                    <w:top w:w="0" w:type="dxa"/>
                    <w:left w:w="105" w:type="dxa"/>
                    <w:bottom w:w="0" w:type="dxa"/>
                    <w:right w:w="105" w:type="dxa"/>
                  </w:tcMar>
                  <w:vAlign w:val="center"/>
                </w:tcPr>
                <w:p w14:paraId="7B7B8471">
                  <w:pPr>
                    <w:pStyle w:val="16"/>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要求货品规格符合条件：</w:t>
                  </w:r>
                </w:p>
                <w:p w14:paraId="47140C69">
                  <w:pPr>
                    <w:pStyle w:val="16"/>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送来货品规格与订购规格不符合的，每次扣2分。</w:t>
                  </w:r>
                </w:p>
              </w:tc>
              <w:tc>
                <w:tcPr>
                  <w:tcW w:w="907" w:type="pct"/>
                  <w:tcBorders>
                    <w:top w:val="nil"/>
                    <w:left w:val="nil"/>
                    <w:bottom w:val="single" w:color="000000" w:sz="4" w:space="0"/>
                    <w:right w:val="single" w:color="000000" w:sz="4" w:space="0"/>
                  </w:tcBorders>
                  <w:tcMar>
                    <w:top w:w="0" w:type="dxa"/>
                    <w:left w:w="105" w:type="dxa"/>
                    <w:bottom w:w="0" w:type="dxa"/>
                    <w:right w:w="105" w:type="dxa"/>
                  </w:tcMar>
                  <w:vAlign w:val="top"/>
                </w:tcPr>
                <w:p w14:paraId="5F36B8ED">
                  <w:pPr>
                    <w:pStyle w:val="16"/>
                    <w:jc w:val="both"/>
                    <w:rPr>
                      <w:rFonts w:hint="eastAsia" w:ascii="仿宋" w:hAnsi="仿宋" w:eastAsia="仿宋" w:cs="仿宋"/>
                      <w:color w:val="auto"/>
                      <w:sz w:val="28"/>
                      <w:szCs w:val="28"/>
                      <w:highlight w:val="none"/>
                    </w:rPr>
                  </w:pPr>
                </w:p>
              </w:tc>
              <w:tc>
                <w:tcPr>
                  <w:tcW w:w="425" w:type="pct"/>
                  <w:tcBorders>
                    <w:top w:val="nil"/>
                    <w:left w:val="nil"/>
                    <w:bottom w:val="single" w:color="000000" w:sz="4" w:space="0"/>
                    <w:right w:val="single" w:color="000000" w:sz="4" w:space="0"/>
                  </w:tcBorders>
                  <w:tcMar>
                    <w:top w:w="0" w:type="dxa"/>
                    <w:left w:w="105" w:type="dxa"/>
                    <w:bottom w:w="0" w:type="dxa"/>
                    <w:right w:w="105" w:type="dxa"/>
                  </w:tcMar>
                  <w:vAlign w:val="top"/>
                </w:tcPr>
                <w:p w14:paraId="2226ECD8">
                  <w:pPr>
                    <w:rPr>
                      <w:rFonts w:hint="eastAsia" w:ascii="仿宋" w:hAnsi="仿宋" w:eastAsia="仿宋" w:cs="仿宋"/>
                      <w:color w:val="auto"/>
                      <w:sz w:val="28"/>
                      <w:szCs w:val="28"/>
                      <w:highlight w:val="none"/>
                    </w:rPr>
                  </w:pPr>
                </w:p>
              </w:tc>
            </w:tr>
            <w:tr w14:paraId="070E99A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3"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DADD16B">
                  <w:pPr>
                    <w:pStyle w:val="16"/>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货品价格</w:t>
                  </w:r>
                </w:p>
                <w:p w14:paraId="720D2EB7">
                  <w:pPr>
                    <w:pStyle w:val="16"/>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(满分20分)</w:t>
                  </w:r>
                </w:p>
              </w:tc>
              <w:tc>
                <w:tcPr>
                  <w:tcW w:w="2773" w:type="pct"/>
                  <w:tcBorders>
                    <w:top w:val="nil"/>
                    <w:left w:val="nil"/>
                    <w:bottom w:val="single" w:color="000000" w:sz="4" w:space="0"/>
                    <w:right w:val="single" w:color="000000" w:sz="4" w:space="0"/>
                  </w:tcBorders>
                  <w:tcMar>
                    <w:top w:w="0" w:type="dxa"/>
                    <w:left w:w="105" w:type="dxa"/>
                    <w:bottom w:w="0" w:type="dxa"/>
                    <w:right w:w="105" w:type="dxa"/>
                  </w:tcMar>
                  <w:vAlign w:val="center"/>
                </w:tcPr>
                <w:p w14:paraId="5252F7D9">
                  <w:pPr>
                    <w:pStyle w:val="16"/>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要求定价合理：</w:t>
                  </w:r>
                </w:p>
                <w:p w14:paraId="5DB8171F">
                  <w:pPr>
                    <w:pStyle w:val="16"/>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是否依时报价，是否存在临时补货物品价格虚高的情况；是否存在对账单价格乱报、错报等的情况；如发现上述问题，每次扣分2分，最高扣分20分。</w:t>
                  </w:r>
                </w:p>
              </w:tc>
              <w:tc>
                <w:tcPr>
                  <w:tcW w:w="907" w:type="pct"/>
                  <w:tcBorders>
                    <w:top w:val="nil"/>
                    <w:left w:val="nil"/>
                    <w:bottom w:val="single" w:color="000000" w:sz="4" w:space="0"/>
                    <w:right w:val="single" w:color="000000" w:sz="4" w:space="0"/>
                  </w:tcBorders>
                  <w:tcMar>
                    <w:top w:w="0" w:type="dxa"/>
                    <w:left w:w="105" w:type="dxa"/>
                    <w:bottom w:w="0" w:type="dxa"/>
                    <w:right w:w="105" w:type="dxa"/>
                  </w:tcMar>
                  <w:vAlign w:val="top"/>
                </w:tcPr>
                <w:p w14:paraId="4E938EAD">
                  <w:pPr>
                    <w:pStyle w:val="16"/>
                    <w:jc w:val="both"/>
                    <w:rPr>
                      <w:rFonts w:hint="eastAsia" w:ascii="仿宋" w:hAnsi="仿宋" w:eastAsia="仿宋" w:cs="仿宋"/>
                      <w:color w:val="auto"/>
                      <w:sz w:val="28"/>
                      <w:szCs w:val="28"/>
                      <w:highlight w:val="none"/>
                    </w:rPr>
                  </w:pPr>
                </w:p>
              </w:tc>
              <w:tc>
                <w:tcPr>
                  <w:tcW w:w="425" w:type="pct"/>
                  <w:tcBorders>
                    <w:top w:val="nil"/>
                    <w:left w:val="nil"/>
                    <w:bottom w:val="single" w:color="000000" w:sz="4" w:space="0"/>
                    <w:right w:val="single" w:color="000000" w:sz="4" w:space="0"/>
                  </w:tcBorders>
                  <w:tcMar>
                    <w:top w:w="0" w:type="dxa"/>
                    <w:left w:w="105" w:type="dxa"/>
                    <w:bottom w:w="0" w:type="dxa"/>
                    <w:right w:w="105" w:type="dxa"/>
                  </w:tcMar>
                  <w:vAlign w:val="top"/>
                </w:tcPr>
                <w:p w14:paraId="30D5B587">
                  <w:pPr>
                    <w:rPr>
                      <w:rFonts w:hint="eastAsia" w:ascii="仿宋" w:hAnsi="仿宋" w:eastAsia="仿宋" w:cs="仿宋"/>
                      <w:color w:val="auto"/>
                      <w:sz w:val="28"/>
                      <w:szCs w:val="28"/>
                      <w:highlight w:val="none"/>
                    </w:rPr>
                  </w:pPr>
                </w:p>
              </w:tc>
            </w:tr>
            <w:tr w14:paraId="1436229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3"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8AC6497">
                  <w:pPr>
                    <w:pStyle w:val="16"/>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服务态度</w:t>
                  </w:r>
                </w:p>
                <w:p w14:paraId="7C35381B">
                  <w:pPr>
                    <w:pStyle w:val="16"/>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(满分10分)</w:t>
                  </w:r>
                </w:p>
              </w:tc>
              <w:tc>
                <w:tcPr>
                  <w:tcW w:w="2773" w:type="pct"/>
                  <w:tcBorders>
                    <w:top w:val="nil"/>
                    <w:left w:val="nil"/>
                    <w:bottom w:val="single" w:color="000000" w:sz="4" w:space="0"/>
                    <w:right w:val="single" w:color="000000" w:sz="4" w:space="0"/>
                  </w:tcBorders>
                  <w:tcMar>
                    <w:top w:w="0" w:type="dxa"/>
                    <w:left w:w="105" w:type="dxa"/>
                    <w:bottom w:w="0" w:type="dxa"/>
                    <w:right w:w="105" w:type="dxa"/>
                  </w:tcMar>
                  <w:vAlign w:val="center"/>
                </w:tcPr>
                <w:p w14:paraId="09AB384D">
                  <w:pPr>
                    <w:pStyle w:val="16"/>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要求服务态度良好，积极配合，有问题及时改正：</w:t>
                  </w:r>
                </w:p>
                <w:p w14:paraId="785F13A5">
                  <w:pPr>
                    <w:pStyle w:val="16"/>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1、服务态度一般，但问题及时改正的，每次扣1分；</w:t>
                  </w:r>
                </w:p>
                <w:p w14:paraId="7C86B5B8">
                  <w:pPr>
                    <w:pStyle w:val="16"/>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2、服务态度一般，且问题不能及时改正的，每次扣2分；</w:t>
                  </w:r>
                </w:p>
                <w:p w14:paraId="0A3D34E6">
                  <w:pPr>
                    <w:pStyle w:val="16"/>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3、服务态度差，且问题不能及时改正的，每次扣3分。</w:t>
                  </w:r>
                </w:p>
              </w:tc>
              <w:tc>
                <w:tcPr>
                  <w:tcW w:w="907" w:type="pct"/>
                  <w:tcBorders>
                    <w:top w:val="nil"/>
                    <w:left w:val="nil"/>
                    <w:bottom w:val="single" w:color="000000" w:sz="4" w:space="0"/>
                    <w:right w:val="single" w:color="000000" w:sz="4" w:space="0"/>
                  </w:tcBorders>
                  <w:tcMar>
                    <w:top w:w="0" w:type="dxa"/>
                    <w:left w:w="105" w:type="dxa"/>
                    <w:bottom w:w="0" w:type="dxa"/>
                    <w:right w:w="105" w:type="dxa"/>
                  </w:tcMar>
                  <w:vAlign w:val="top"/>
                </w:tcPr>
                <w:p w14:paraId="06EDC048">
                  <w:pPr>
                    <w:pStyle w:val="16"/>
                    <w:jc w:val="both"/>
                    <w:rPr>
                      <w:rFonts w:hint="eastAsia" w:ascii="仿宋" w:hAnsi="仿宋" w:eastAsia="仿宋" w:cs="仿宋"/>
                      <w:color w:val="auto"/>
                      <w:sz w:val="28"/>
                      <w:szCs w:val="28"/>
                      <w:highlight w:val="none"/>
                    </w:rPr>
                  </w:pPr>
                </w:p>
              </w:tc>
              <w:tc>
                <w:tcPr>
                  <w:tcW w:w="425" w:type="pct"/>
                  <w:tcBorders>
                    <w:top w:val="nil"/>
                    <w:left w:val="nil"/>
                    <w:bottom w:val="single" w:color="000000" w:sz="4" w:space="0"/>
                    <w:right w:val="single" w:color="000000" w:sz="4" w:space="0"/>
                  </w:tcBorders>
                  <w:tcMar>
                    <w:top w:w="0" w:type="dxa"/>
                    <w:left w:w="105" w:type="dxa"/>
                    <w:bottom w:w="0" w:type="dxa"/>
                    <w:right w:w="105" w:type="dxa"/>
                  </w:tcMar>
                  <w:vAlign w:val="top"/>
                </w:tcPr>
                <w:p w14:paraId="3A64DCD5">
                  <w:pPr>
                    <w:rPr>
                      <w:rFonts w:hint="eastAsia" w:ascii="仿宋" w:hAnsi="仿宋" w:eastAsia="仿宋" w:cs="仿宋"/>
                      <w:color w:val="auto"/>
                      <w:sz w:val="28"/>
                      <w:szCs w:val="28"/>
                      <w:highlight w:val="none"/>
                    </w:rPr>
                  </w:pPr>
                </w:p>
              </w:tc>
            </w:tr>
            <w:tr w14:paraId="72C69D8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3"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3AF7A96">
                  <w:pPr>
                    <w:pStyle w:val="16"/>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是否存在以下行为</w:t>
                  </w:r>
                </w:p>
              </w:tc>
              <w:tc>
                <w:tcPr>
                  <w:tcW w:w="2773" w:type="pct"/>
                  <w:tcBorders>
                    <w:top w:val="nil"/>
                    <w:left w:val="nil"/>
                    <w:bottom w:val="single" w:color="000000" w:sz="4" w:space="0"/>
                    <w:right w:val="single" w:color="000000" w:sz="4" w:space="0"/>
                  </w:tcBorders>
                  <w:tcMar>
                    <w:top w:w="0" w:type="dxa"/>
                    <w:left w:w="105" w:type="dxa"/>
                    <w:bottom w:w="0" w:type="dxa"/>
                    <w:right w:w="105" w:type="dxa"/>
                  </w:tcMar>
                  <w:vAlign w:val="center"/>
                </w:tcPr>
                <w:p w14:paraId="4E36349B">
                  <w:pPr>
                    <w:pStyle w:val="16"/>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1、供应假冒伪劣产品；</w:t>
                  </w:r>
                </w:p>
                <w:p w14:paraId="6A7FFF8A">
                  <w:pPr>
                    <w:pStyle w:val="16"/>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2、整改时间结束后仍未达到整改要求。</w:t>
                  </w:r>
                </w:p>
              </w:tc>
              <w:tc>
                <w:tcPr>
                  <w:tcW w:w="907" w:type="pct"/>
                  <w:tcBorders>
                    <w:top w:val="nil"/>
                    <w:left w:val="nil"/>
                    <w:bottom w:val="single" w:color="000000" w:sz="4" w:space="0"/>
                    <w:right w:val="single" w:color="000000" w:sz="4" w:space="0"/>
                  </w:tcBorders>
                  <w:tcMar>
                    <w:top w:w="0" w:type="dxa"/>
                    <w:left w:w="105" w:type="dxa"/>
                    <w:bottom w:w="0" w:type="dxa"/>
                    <w:right w:w="105" w:type="dxa"/>
                  </w:tcMar>
                  <w:vAlign w:val="top"/>
                </w:tcPr>
                <w:p w14:paraId="53BCA32E">
                  <w:pPr>
                    <w:pStyle w:val="16"/>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1.□是</w:t>
                  </w:r>
                </w:p>
                <w:p w14:paraId="28F39B3F">
                  <w:pPr>
                    <w:pStyle w:val="16"/>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□否</w:t>
                  </w:r>
                </w:p>
                <w:p w14:paraId="7F965AA4">
                  <w:pPr>
                    <w:pStyle w:val="16"/>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2.□是</w:t>
                  </w:r>
                </w:p>
                <w:p w14:paraId="26B4F536">
                  <w:pPr>
                    <w:pStyle w:val="16"/>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□否</w:t>
                  </w:r>
                </w:p>
              </w:tc>
              <w:tc>
                <w:tcPr>
                  <w:tcW w:w="425" w:type="pct"/>
                  <w:tcBorders>
                    <w:top w:val="nil"/>
                    <w:left w:val="nil"/>
                    <w:bottom w:val="single" w:color="000000" w:sz="4" w:space="0"/>
                    <w:right w:val="single" w:color="000000" w:sz="4" w:space="0"/>
                  </w:tcBorders>
                  <w:tcMar>
                    <w:top w:w="0" w:type="dxa"/>
                    <w:left w:w="105" w:type="dxa"/>
                    <w:bottom w:w="0" w:type="dxa"/>
                    <w:right w:w="105" w:type="dxa"/>
                  </w:tcMar>
                  <w:vAlign w:val="top"/>
                </w:tcPr>
                <w:p w14:paraId="792A1107">
                  <w:pPr>
                    <w:pStyle w:val="16"/>
                    <w:jc w:val="both"/>
                    <w:rPr>
                      <w:rFonts w:hint="eastAsia" w:ascii="仿宋" w:hAnsi="仿宋" w:eastAsia="仿宋" w:cs="仿宋"/>
                      <w:color w:val="auto"/>
                      <w:sz w:val="28"/>
                      <w:szCs w:val="28"/>
                      <w:highlight w:val="none"/>
                    </w:rPr>
                  </w:pPr>
                </w:p>
              </w:tc>
            </w:tr>
            <w:tr w14:paraId="5131A60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3"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8FC0648">
                  <w:pPr>
                    <w:pStyle w:val="16"/>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综合评价</w:t>
                  </w:r>
                </w:p>
              </w:tc>
              <w:tc>
                <w:tcPr>
                  <w:tcW w:w="2773" w:type="pct"/>
                  <w:tcBorders>
                    <w:top w:val="nil"/>
                    <w:left w:val="nil"/>
                    <w:bottom w:val="single" w:color="000000" w:sz="4" w:space="0"/>
                    <w:right w:val="single" w:color="000000" w:sz="4" w:space="0"/>
                  </w:tcBorders>
                  <w:tcMar>
                    <w:top w:w="0" w:type="dxa"/>
                    <w:left w:w="105" w:type="dxa"/>
                    <w:bottom w:w="0" w:type="dxa"/>
                    <w:right w:w="105" w:type="dxa"/>
                  </w:tcMar>
                  <w:vAlign w:val="top"/>
                </w:tcPr>
                <w:p w14:paraId="076D8A4F">
                  <w:pPr>
                    <w:pStyle w:val="16"/>
                    <w:jc w:val="both"/>
                    <w:rPr>
                      <w:rFonts w:hint="eastAsia" w:ascii="仿宋" w:hAnsi="仿宋" w:eastAsia="仿宋" w:cs="仿宋"/>
                      <w:color w:val="auto"/>
                      <w:sz w:val="28"/>
                      <w:szCs w:val="28"/>
                      <w:highlight w:val="none"/>
                    </w:rPr>
                  </w:pPr>
                </w:p>
              </w:tc>
              <w:tc>
                <w:tcPr>
                  <w:tcW w:w="907" w:type="pct"/>
                  <w:tcBorders>
                    <w:top w:val="nil"/>
                    <w:left w:val="nil"/>
                    <w:bottom w:val="single" w:color="000000" w:sz="4" w:space="0"/>
                    <w:right w:val="single" w:color="000000" w:sz="4" w:space="0"/>
                  </w:tcBorders>
                  <w:tcMar>
                    <w:top w:w="0" w:type="dxa"/>
                    <w:left w:w="105" w:type="dxa"/>
                    <w:bottom w:w="0" w:type="dxa"/>
                    <w:right w:w="105" w:type="dxa"/>
                  </w:tcMar>
                  <w:vAlign w:val="top"/>
                </w:tcPr>
                <w:p w14:paraId="2D44ADFB">
                  <w:pPr>
                    <w:rPr>
                      <w:rFonts w:hint="eastAsia" w:ascii="仿宋" w:hAnsi="仿宋" w:eastAsia="仿宋" w:cs="仿宋"/>
                      <w:color w:val="auto"/>
                      <w:sz w:val="28"/>
                      <w:szCs w:val="28"/>
                      <w:highlight w:val="none"/>
                    </w:rPr>
                  </w:pPr>
                </w:p>
              </w:tc>
              <w:tc>
                <w:tcPr>
                  <w:tcW w:w="425" w:type="pct"/>
                  <w:tcBorders>
                    <w:top w:val="nil"/>
                    <w:left w:val="nil"/>
                    <w:bottom w:val="single" w:color="000000" w:sz="4" w:space="0"/>
                    <w:right w:val="single" w:color="000000" w:sz="4" w:space="0"/>
                  </w:tcBorders>
                  <w:tcMar>
                    <w:top w:w="0" w:type="dxa"/>
                    <w:left w:w="105" w:type="dxa"/>
                    <w:bottom w:w="0" w:type="dxa"/>
                    <w:right w:w="105" w:type="dxa"/>
                  </w:tcMar>
                  <w:vAlign w:val="top"/>
                </w:tcPr>
                <w:p w14:paraId="2C4EF6A3">
                  <w:pPr>
                    <w:rPr>
                      <w:rFonts w:hint="eastAsia" w:ascii="仿宋" w:hAnsi="仿宋" w:eastAsia="仿宋" w:cs="仿宋"/>
                      <w:color w:val="auto"/>
                      <w:sz w:val="28"/>
                      <w:szCs w:val="28"/>
                      <w:highlight w:val="none"/>
                    </w:rPr>
                  </w:pPr>
                </w:p>
              </w:tc>
            </w:tr>
          </w:tbl>
          <w:p w14:paraId="5902A467">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注：</w:t>
            </w:r>
          </w:p>
          <w:p w14:paraId="6E9DA51D">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FF0000"/>
                <w:sz w:val="28"/>
                <w:szCs w:val="28"/>
                <w:highlight w:val="none"/>
              </w:rPr>
              <w:t>1、采购人每月对中标人进行食材及服务质量考核跟踪，满分为100分，</w:t>
            </w:r>
            <w:r>
              <w:rPr>
                <w:rFonts w:hint="eastAsia" w:ascii="仿宋" w:hAnsi="仿宋" w:eastAsia="仿宋" w:cs="仿宋"/>
                <w:color w:val="FF0000"/>
                <w:sz w:val="28"/>
                <w:szCs w:val="28"/>
                <w:highlight w:val="none"/>
                <w:lang w:val="en-US" w:eastAsia="zh-CN"/>
              </w:rPr>
              <w:t>考核得分≥90分时采购人全额支付被考核时段月服务费用。其中，90分＞考核得分≥80分时，</w:t>
            </w:r>
            <w:r>
              <w:rPr>
                <w:rFonts w:hint="eastAsia" w:ascii="仿宋" w:hAnsi="仿宋" w:eastAsia="仿宋" w:cs="仿宋"/>
                <w:color w:val="FF0000"/>
                <w:sz w:val="28"/>
                <w:szCs w:val="28"/>
                <w:lang w:val="en-US" w:eastAsia="zh-CN"/>
              </w:rPr>
              <w:t>扣减被考核时段月服务费用的</w:t>
            </w:r>
            <w:r>
              <w:rPr>
                <w:rFonts w:hint="eastAsia" w:ascii="仿宋" w:hAnsi="仿宋" w:eastAsia="仿宋" w:cs="仿宋"/>
                <w:color w:val="FF0000"/>
                <w:sz w:val="28"/>
                <w:szCs w:val="28"/>
                <w:highlight w:val="none"/>
                <w:lang w:val="en-US" w:eastAsia="zh-CN"/>
              </w:rPr>
              <w:t>2%</w:t>
            </w:r>
            <w:r>
              <w:rPr>
                <w:rFonts w:hint="eastAsia" w:ascii="仿宋" w:hAnsi="仿宋" w:eastAsia="仿宋" w:cs="仿宋"/>
                <w:color w:val="FF0000"/>
                <w:sz w:val="28"/>
                <w:szCs w:val="28"/>
                <w:highlight w:val="none"/>
                <w:lang w:eastAsia="zh-CN"/>
              </w:rPr>
              <w:t>；</w:t>
            </w:r>
            <w:r>
              <w:rPr>
                <w:rFonts w:hint="eastAsia" w:ascii="仿宋" w:hAnsi="仿宋" w:eastAsia="仿宋" w:cs="仿宋"/>
                <w:color w:val="FF0000"/>
                <w:sz w:val="28"/>
                <w:szCs w:val="28"/>
                <w:highlight w:val="none"/>
                <w:lang w:val="en-US" w:eastAsia="zh-CN"/>
              </w:rPr>
              <w:t>80分＞考核得分≥70分时，</w:t>
            </w:r>
            <w:r>
              <w:rPr>
                <w:rFonts w:hint="eastAsia" w:ascii="仿宋" w:hAnsi="仿宋" w:eastAsia="仿宋" w:cs="仿宋"/>
                <w:color w:val="FF0000"/>
                <w:sz w:val="28"/>
                <w:szCs w:val="28"/>
                <w:lang w:val="en-US" w:eastAsia="zh-CN"/>
              </w:rPr>
              <w:t>扣减被考核时段月服务费用的</w:t>
            </w:r>
            <w:r>
              <w:rPr>
                <w:rFonts w:hint="eastAsia" w:ascii="仿宋" w:hAnsi="仿宋" w:eastAsia="仿宋" w:cs="仿宋"/>
                <w:color w:val="FF0000"/>
                <w:sz w:val="28"/>
                <w:szCs w:val="28"/>
                <w:highlight w:val="none"/>
                <w:lang w:val="en-US" w:eastAsia="zh-CN"/>
              </w:rPr>
              <w:t>5%</w:t>
            </w:r>
            <w:r>
              <w:rPr>
                <w:rFonts w:hint="eastAsia" w:ascii="仿宋" w:hAnsi="仿宋" w:eastAsia="仿宋" w:cs="仿宋"/>
                <w:color w:val="FF0000"/>
                <w:sz w:val="28"/>
                <w:szCs w:val="28"/>
                <w:highlight w:val="none"/>
                <w:lang w:eastAsia="zh-CN"/>
              </w:rPr>
              <w:t>；</w:t>
            </w:r>
            <w:r>
              <w:rPr>
                <w:rFonts w:hint="eastAsia" w:ascii="仿宋" w:hAnsi="仿宋" w:eastAsia="仿宋" w:cs="仿宋"/>
                <w:color w:val="FF0000"/>
                <w:sz w:val="28"/>
                <w:szCs w:val="28"/>
                <w:highlight w:val="none"/>
              </w:rPr>
              <w:t>考核得分＜70分的属不合格，</w:t>
            </w:r>
            <w:r>
              <w:rPr>
                <w:rFonts w:hint="eastAsia" w:ascii="仿宋" w:hAnsi="仿宋" w:eastAsia="仿宋" w:cs="仿宋"/>
                <w:color w:val="FF0000"/>
                <w:sz w:val="28"/>
                <w:szCs w:val="28"/>
                <w:lang w:val="en-US" w:eastAsia="zh-CN"/>
              </w:rPr>
              <w:t>扣减被考核时段月服务费用的</w:t>
            </w:r>
            <w:r>
              <w:rPr>
                <w:rFonts w:hint="eastAsia" w:ascii="仿宋" w:hAnsi="仿宋" w:eastAsia="仿宋" w:cs="仿宋"/>
                <w:color w:val="FF0000"/>
                <w:sz w:val="28"/>
                <w:szCs w:val="28"/>
                <w:highlight w:val="none"/>
                <w:lang w:val="en-US" w:eastAsia="zh-CN"/>
              </w:rPr>
              <w:t>10%</w:t>
            </w:r>
            <w:r>
              <w:rPr>
                <w:rFonts w:hint="eastAsia" w:ascii="仿宋" w:hAnsi="仿宋" w:eastAsia="仿宋" w:cs="仿宋"/>
                <w:color w:val="FF0000"/>
                <w:sz w:val="28"/>
                <w:szCs w:val="28"/>
                <w:highlight w:val="none"/>
              </w:rPr>
              <w:t>。中标人累计出现三次考核成绩不合格时，采购人有权单方面终止合同。</w:t>
            </w:r>
          </w:p>
          <w:p w14:paraId="68EF512E">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2、对服务期间出现下列情况之一的，采购人有权无条件单方面终止合同：</w:t>
            </w:r>
          </w:p>
          <w:p w14:paraId="09E9F98C">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（1）因配送原材料问题，发生人员食物中毒等食材安全责任事故，且造成严重后果的。</w:t>
            </w:r>
          </w:p>
          <w:p w14:paraId="5509244D">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（2）在原材料配送过程中，存在掺杂作假，销售劣质、有害过期或无证食品等违规行为，经采购人规劝，或市场监督管理部门要求整改依然无效的。</w:t>
            </w:r>
          </w:p>
          <w:p w14:paraId="29AB4F5B">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（3）在经营过程中，存在转包、分包和挂靠经营行为的。</w:t>
            </w:r>
          </w:p>
          <w:p w14:paraId="1E34391E">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（4）在采购过程中以弄虚作假等欺诈手段获得准入资格的，或经营情况发生变化已不符合准入条件而又不改变的。</w:t>
            </w:r>
          </w:p>
        </w:tc>
      </w:tr>
      <w:tr w14:paraId="0AC89C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813" w:type="pct"/>
            <w:gridSpan w:val="2"/>
            <w:vAlign w:val="center"/>
          </w:tcPr>
          <w:p w14:paraId="62A15492">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说明</w:t>
            </w:r>
          </w:p>
        </w:tc>
        <w:tc>
          <w:tcPr>
            <w:tcW w:w="4186" w:type="pct"/>
          </w:tcPr>
          <w:p w14:paraId="29A8EAFE">
            <w:pPr>
              <w:pStyle w:val="16"/>
              <w:spacing w:line="360" w:lineRule="auto"/>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打“★”号条款为实质性条款，若有任何一条负偏离或不满足则导致投标无效。</w:t>
            </w:r>
          </w:p>
          <w:p w14:paraId="1DC7447C">
            <w:pPr>
              <w:pStyle w:val="16"/>
              <w:spacing w:line="360" w:lineRule="auto"/>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打“▲”号条款为重要技术参数，若有部分“▲”条款未响应或不满足，将导致其响应性评审加重扣分，但不作为无效投标条款。</w:t>
            </w:r>
          </w:p>
        </w:tc>
      </w:tr>
    </w:tbl>
    <w:p w14:paraId="43C9A497">
      <w:pP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br w:type="page"/>
      </w:r>
    </w:p>
    <w:p w14:paraId="7052C66F">
      <w:pPr>
        <w:pStyle w:val="2"/>
        <w:bidi w:val="0"/>
        <w:jc w:val="center"/>
        <w:outlineLvl w:val="0"/>
        <w:rPr>
          <w:rFonts w:hint="eastAsia" w:ascii="仿宋" w:hAnsi="仿宋" w:eastAsia="仿宋" w:cs="仿宋"/>
          <w:color w:val="auto"/>
          <w:sz w:val="28"/>
          <w:szCs w:val="28"/>
          <w:highlight w:val="none"/>
        </w:rPr>
      </w:pPr>
      <w:bookmarkStart w:id="9" w:name="_Toc13834"/>
      <w:r>
        <w:rPr>
          <w:rFonts w:hint="eastAsia" w:ascii="仿宋" w:hAnsi="仿宋" w:eastAsia="仿宋" w:cs="仿宋"/>
          <w:color w:val="auto"/>
          <w:sz w:val="28"/>
          <w:szCs w:val="28"/>
          <w:highlight w:val="none"/>
        </w:rPr>
        <w:t>第三章 投标人须知</w:t>
      </w:r>
      <w:bookmarkEnd w:id="9"/>
    </w:p>
    <w:p w14:paraId="7AF414E5">
      <w:pPr>
        <w:pStyle w:val="16"/>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14:paraId="4BCF7CD8">
      <w:pPr>
        <w:pStyle w:val="16"/>
        <w:spacing w:line="360" w:lineRule="auto"/>
        <w:outlineLvl w:val="1"/>
        <w:rPr>
          <w:rFonts w:hint="eastAsia" w:ascii="仿宋" w:hAnsi="仿宋" w:eastAsia="仿宋" w:cs="仿宋"/>
          <w:b/>
          <w:color w:val="auto"/>
          <w:sz w:val="28"/>
          <w:szCs w:val="28"/>
          <w:highlight w:val="none"/>
          <w:lang w:val="en-US" w:eastAsia="zh-CN"/>
        </w:rPr>
      </w:pPr>
      <w:r>
        <w:rPr>
          <w:rFonts w:hint="eastAsia" w:ascii="仿宋" w:hAnsi="仿宋" w:eastAsia="仿宋" w:cs="仿宋"/>
          <w:b/>
          <w:color w:val="auto"/>
          <w:sz w:val="28"/>
          <w:szCs w:val="28"/>
          <w:highlight w:val="none"/>
          <w:lang w:val="en-US" w:eastAsia="zh-CN"/>
        </w:rPr>
        <w:t>一、投标人须知前附表</w:t>
      </w:r>
    </w:p>
    <w:tbl>
      <w:tblPr>
        <w:tblStyle w:val="12"/>
        <w:tblW w:w="5000"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54"/>
        <w:gridCol w:w="1800"/>
        <w:gridCol w:w="6207"/>
      </w:tblGrid>
      <w:tr w14:paraId="391F27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000" w:type="pct"/>
            <w:gridSpan w:val="3"/>
          </w:tcPr>
          <w:p w14:paraId="702C9719">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本表与招标文件对应章节的内容若不一致，以本表为准。</w:t>
            </w:r>
          </w:p>
        </w:tc>
      </w:tr>
      <w:tr w14:paraId="39E436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82" w:type="pct"/>
          </w:tcPr>
          <w:p w14:paraId="3E7BA308">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序号</w:t>
            </w:r>
          </w:p>
        </w:tc>
        <w:tc>
          <w:tcPr>
            <w:tcW w:w="993" w:type="pct"/>
            <w:vAlign w:val="center"/>
          </w:tcPr>
          <w:p w14:paraId="39A4257D">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条款名称</w:t>
            </w:r>
          </w:p>
        </w:tc>
        <w:tc>
          <w:tcPr>
            <w:tcW w:w="3424" w:type="pct"/>
            <w:vAlign w:val="center"/>
          </w:tcPr>
          <w:p w14:paraId="5774AE7A">
            <w:pPr>
              <w:pStyle w:val="16"/>
              <w:spacing w:line="360" w:lineRule="auto"/>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内容及要求</w:t>
            </w:r>
          </w:p>
        </w:tc>
      </w:tr>
      <w:tr w14:paraId="0DEB30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82" w:type="pct"/>
          </w:tcPr>
          <w:p w14:paraId="7DC3BC15">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p>
        </w:tc>
        <w:tc>
          <w:tcPr>
            <w:tcW w:w="993" w:type="pct"/>
            <w:vAlign w:val="center"/>
          </w:tcPr>
          <w:p w14:paraId="17D11DC5">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采购包情况</w:t>
            </w:r>
          </w:p>
        </w:tc>
        <w:tc>
          <w:tcPr>
            <w:tcW w:w="3424" w:type="pct"/>
            <w:vAlign w:val="center"/>
          </w:tcPr>
          <w:p w14:paraId="2A99CD38">
            <w:pPr>
              <w:pStyle w:val="16"/>
              <w:spacing w:line="360" w:lineRule="auto"/>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本项目共</w:t>
            </w:r>
            <w:r>
              <w:rPr>
                <w:rFonts w:hint="eastAsia" w:ascii="仿宋" w:hAnsi="仿宋" w:eastAsia="仿宋" w:cs="仿宋"/>
                <w:color w:val="auto"/>
                <w:sz w:val="28"/>
                <w:szCs w:val="28"/>
                <w:highlight w:val="none"/>
                <w:lang w:val="en-US" w:eastAsia="zh-CN"/>
              </w:rPr>
              <w:t>2</w:t>
            </w:r>
            <w:r>
              <w:rPr>
                <w:rFonts w:hint="eastAsia" w:ascii="仿宋" w:hAnsi="仿宋" w:eastAsia="仿宋" w:cs="仿宋"/>
                <w:color w:val="auto"/>
                <w:sz w:val="28"/>
                <w:szCs w:val="28"/>
                <w:highlight w:val="none"/>
              </w:rPr>
              <w:t>个采购包</w:t>
            </w:r>
          </w:p>
        </w:tc>
      </w:tr>
      <w:tr w14:paraId="2BAF7A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82" w:type="pct"/>
          </w:tcPr>
          <w:p w14:paraId="606F29A9">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w:t>
            </w:r>
          </w:p>
        </w:tc>
        <w:tc>
          <w:tcPr>
            <w:tcW w:w="993" w:type="pct"/>
            <w:vAlign w:val="center"/>
          </w:tcPr>
          <w:p w14:paraId="559EE610">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开标方式</w:t>
            </w:r>
          </w:p>
        </w:tc>
        <w:tc>
          <w:tcPr>
            <w:tcW w:w="3424" w:type="pct"/>
            <w:vAlign w:val="center"/>
          </w:tcPr>
          <w:p w14:paraId="729BC11B">
            <w:pPr>
              <w:pStyle w:val="16"/>
              <w:spacing w:line="360" w:lineRule="auto"/>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现场线下</w:t>
            </w:r>
            <w:r>
              <w:rPr>
                <w:rFonts w:hint="eastAsia" w:ascii="仿宋" w:hAnsi="仿宋" w:eastAsia="仿宋" w:cs="仿宋"/>
                <w:color w:val="auto"/>
                <w:sz w:val="28"/>
                <w:szCs w:val="28"/>
                <w:highlight w:val="none"/>
              </w:rPr>
              <w:t>开标</w:t>
            </w:r>
          </w:p>
        </w:tc>
      </w:tr>
      <w:tr w14:paraId="75B1BE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82" w:type="pct"/>
          </w:tcPr>
          <w:p w14:paraId="20E92FEF">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w:t>
            </w:r>
          </w:p>
        </w:tc>
        <w:tc>
          <w:tcPr>
            <w:tcW w:w="993" w:type="pct"/>
            <w:vAlign w:val="center"/>
          </w:tcPr>
          <w:p w14:paraId="6519DAD8">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评标方式</w:t>
            </w:r>
          </w:p>
        </w:tc>
        <w:tc>
          <w:tcPr>
            <w:tcW w:w="3424" w:type="pct"/>
            <w:vAlign w:val="center"/>
          </w:tcPr>
          <w:p w14:paraId="097768E3">
            <w:pPr>
              <w:pStyle w:val="16"/>
              <w:spacing w:line="360" w:lineRule="auto"/>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现场线下</w:t>
            </w:r>
            <w:r>
              <w:rPr>
                <w:rFonts w:hint="eastAsia" w:ascii="仿宋" w:hAnsi="仿宋" w:eastAsia="仿宋" w:cs="仿宋"/>
                <w:color w:val="auto"/>
                <w:sz w:val="28"/>
                <w:szCs w:val="28"/>
                <w:highlight w:val="none"/>
              </w:rPr>
              <w:t>评标</w:t>
            </w:r>
          </w:p>
        </w:tc>
      </w:tr>
      <w:tr w14:paraId="2CBCF0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82" w:type="pct"/>
          </w:tcPr>
          <w:p w14:paraId="069B05B7">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w:t>
            </w:r>
          </w:p>
        </w:tc>
        <w:tc>
          <w:tcPr>
            <w:tcW w:w="993" w:type="pct"/>
            <w:vAlign w:val="center"/>
          </w:tcPr>
          <w:p w14:paraId="4F241BEA">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评标办法</w:t>
            </w:r>
          </w:p>
        </w:tc>
        <w:tc>
          <w:tcPr>
            <w:tcW w:w="3424" w:type="pct"/>
            <w:vAlign w:val="center"/>
          </w:tcPr>
          <w:p w14:paraId="1F09CDAC">
            <w:pPr>
              <w:pStyle w:val="16"/>
              <w:spacing w:line="360" w:lineRule="auto"/>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采购包1：综合评分法</w:t>
            </w:r>
          </w:p>
          <w:p w14:paraId="782AC7D4">
            <w:pPr>
              <w:pStyle w:val="16"/>
              <w:spacing w:line="360" w:lineRule="auto"/>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采购包</w:t>
            </w:r>
            <w:r>
              <w:rPr>
                <w:rFonts w:hint="eastAsia" w:ascii="仿宋" w:hAnsi="仿宋" w:eastAsia="仿宋" w:cs="仿宋"/>
                <w:color w:val="auto"/>
                <w:sz w:val="28"/>
                <w:szCs w:val="28"/>
                <w:highlight w:val="none"/>
                <w:lang w:val="en-US" w:eastAsia="zh-CN"/>
              </w:rPr>
              <w:t>2</w:t>
            </w:r>
            <w:r>
              <w:rPr>
                <w:rFonts w:hint="eastAsia" w:ascii="仿宋" w:hAnsi="仿宋" w:eastAsia="仿宋" w:cs="仿宋"/>
                <w:color w:val="auto"/>
                <w:sz w:val="28"/>
                <w:szCs w:val="28"/>
                <w:highlight w:val="none"/>
              </w:rPr>
              <w:t>：综合评分法</w:t>
            </w:r>
          </w:p>
        </w:tc>
      </w:tr>
      <w:tr w14:paraId="5F127A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82" w:type="pct"/>
          </w:tcPr>
          <w:p w14:paraId="547CAA42">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w:t>
            </w:r>
          </w:p>
        </w:tc>
        <w:tc>
          <w:tcPr>
            <w:tcW w:w="993" w:type="pct"/>
            <w:vAlign w:val="center"/>
          </w:tcPr>
          <w:p w14:paraId="733E7CA4">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报价形式</w:t>
            </w:r>
          </w:p>
        </w:tc>
        <w:tc>
          <w:tcPr>
            <w:tcW w:w="3424" w:type="pct"/>
            <w:vAlign w:val="center"/>
          </w:tcPr>
          <w:p w14:paraId="18B71FC6">
            <w:pPr>
              <w:pStyle w:val="16"/>
              <w:spacing w:line="360" w:lineRule="auto"/>
              <w:jc w:val="both"/>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采购包1：</w:t>
            </w:r>
            <w:r>
              <w:rPr>
                <w:rFonts w:hint="eastAsia" w:ascii="仿宋" w:hAnsi="仿宋" w:eastAsia="仿宋" w:cs="仿宋"/>
                <w:color w:val="auto"/>
                <w:sz w:val="28"/>
                <w:szCs w:val="28"/>
                <w:highlight w:val="none"/>
                <w:lang w:val="en-US" w:eastAsia="zh-CN"/>
              </w:rPr>
              <w:t>折扣</w:t>
            </w:r>
          </w:p>
          <w:p w14:paraId="24DD8460">
            <w:pPr>
              <w:pStyle w:val="16"/>
              <w:spacing w:line="360" w:lineRule="auto"/>
              <w:jc w:val="both"/>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采购包</w:t>
            </w:r>
            <w:r>
              <w:rPr>
                <w:rFonts w:hint="eastAsia" w:ascii="仿宋" w:hAnsi="仿宋" w:eastAsia="仿宋" w:cs="仿宋"/>
                <w:color w:val="auto"/>
                <w:sz w:val="28"/>
                <w:szCs w:val="28"/>
                <w:highlight w:val="none"/>
                <w:lang w:val="en-US" w:eastAsia="zh-CN"/>
              </w:rPr>
              <w:t>2</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折扣</w:t>
            </w:r>
          </w:p>
        </w:tc>
      </w:tr>
      <w:tr w14:paraId="023A2E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82" w:type="pct"/>
          </w:tcPr>
          <w:p w14:paraId="4F42AAEA">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w:t>
            </w:r>
          </w:p>
        </w:tc>
        <w:tc>
          <w:tcPr>
            <w:tcW w:w="993" w:type="pct"/>
            <w:vAlign w:val="center"/>
          </w:tcPr>
          <w:p w14:paraId="5A7B14E8">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报价要求</w:t>
            </w:r>
          </w:p>
        </w:tc>
        <w:tc>
          <w:tcPr>
            <w:tcW w:w="3424" w:type="pct"/>
            <w:vAlign w:val="center"/>
          </w:tcPr>
          <w:p w14:paraId="34196FE2">
            <w:pPr>
              <w:pStyle w:val="16"/>
              <w:spacing w:line="360" w:lineRule="auto"/>
              <w:jc w:val="both"/>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采购包1:0.00%-90.00%</w:t>
            </w:r>
          </w:p>
          <w:p w14:paraId="43EA9B9F">
            <w:pPr>
              <w:pStyle w:val="16"/>
              <w:spacing w:line="360" w:lineRule="auto"/>
              <w:jc w:val="both"/>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采购包2:0.00%-90.00%</w:t>
            </w:r>
          </w:p>
        </w:tc>
      </w:tr>
      <w:tr w14:paraId="75DF87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82" w:type="pct"/>
          </w:tcPr>
          <w:p w14:paraId="1C87D44F">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7</w:t>
            </w:r>
          </w:p>
        </w:tc>
        <w:tc>
          <w:tcPr>
            <w:tcW w:w="993" w:type="pct"/>
            <w:vAlign w:val="center"/>
          </w:tcPr>
          <w:p w14:paraId="59FCDBB7">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现场踏勘</w:t>
            </w:r>
          </w:p>
        </w:tc>
        <w:tc>
          <w:tcPr>
            <w:tcW w:w="3424" w:type="pct"/>
            <w:vAlign w:val="center"/>
          </w:tcPr>
          <w:p w14:paraId="339E3A8D">
            <w:pPr>
              <w:pStyle w:val="16"/>
              <w:spacing w:line="360" w:lineRule="auto"/>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否</w:t>
            </w:r>
          </w:p>
        </w:tc>
      </w:tr>
      <w:tr w14:paraId="68B796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82" w:type="pct"/>
          </w:tcPr>
          <w:p w14:paraId="38564598">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8</w:t>
            </w:r>
          </w:p>
        </w:tc>
        <w:tc>
          <w:tcPr>
            <w:tcW w:w="993" w:type="pct"/>
            <w:vAlign w:val="center"/>
          </w:tcPr>
          <w:p w14:paraId="213022C6">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投标有效期</w:t>
            </w:r>
          </w:p>
        </w:tc>
        <w:tc>
          <w:tcPr>
            <w:tcW w:w="3424" w:type="pct"/>
            <w:vAlign w:val="center"/>
          </w:tcPr>
          <w:p w14:paraId="4A58C08D">
            <w:pPr>
              <w:pStyle w:val="16"/>
              <w:spacing w:line="360" w:lineRule="auto"/>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从提交投标（响应）文件的截止之日起90日历天</w:t>
            </w:r>
          </w:p>
        </w:tc>
      </w:tr>
      <w:tr w14:paraId="00A873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82" w:type="pct"/>
          </w:tcPr>
          <w:p w14:paraId="26104AD1">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9</w:t>
            </w:r>
          </w:p>
        </w:tc>
        <w:tc>
          <w:tcPr>
            <w:tcW w:w="993" w:type="pct"/>
            <w:vAlign w:val="center"/>
          </w:tcPr>
          <w:p w14:paraId="7BD9E42D">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投标保证金</w:t>
            </w:r>
          </w:p>
        </w:tc>
        <w:tc>
          <w:tcPr>
            <w:tcW w:w="3424" w:type="pct"/>
            <w:vAlign w:val="center"/>
          </w:tcPr>
          <w:p w14:paraId="7CC7F29C">
            <w:pPr>
              <w:pStyle w:val="16"/>
              <w:spacing w:line="360" w:lineRule="auto"/>
              <w:jc w:val="both"/>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投标保证金金额：本项目不收取</w:t>
            </w:r>
            <w:r>
              <w:rPr>
                <w:rFonts w:hint="eastAsia" w:ascii="仿宋" w:hAnsi="仿宋" w:eastAsia="仿宋" w:cs="仿宋"/>
                <w:color w:val="auto"/>
                <w:sz w:val="28"/>
                <w:szCs w:val="28"/>
                <w:highlight w:val="none"/>
                <w:lang w:eastAsia="zh-CN"/>
              </w:rPr>
              <w:t>。</w:t>
            </w:r>
          </w:p>
        </w:tc>
      </w:tr>
      <w:tr w14:paraId="04B841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82" w:type="pct"/>
          </w:tcPr>
          <w:p w14:paraId="622A604B">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10</w:t>
            </w:r>
          </w:p>
        </w:tc>
        <w:tc>
          <w:tcPr>
            <w:tcW w:w="993" w:type="pct"/>
            <w:vAlign w:val="center"/>
          </w:tcPr>
          <w:p w14:paraId="38B70BB4">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投标文件</w:t>
            </w:r>
          </w:p>
          <w:p w14:paraId="48707075">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要求</w:t>
            </w:r>
          </w:p>
        </w:tc>
        <w:tc>
          <w:tcPr>
            <w:tcW w:w="3424" w:type="pct"/>
            <w:vAlign w:val="center"/>
          </w:tcPr>
          <w:p w14:paraId="537AA434">
            <w:pPr>
              <w:spacing w:line="360" w:lineRule="auto"/>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1、</w:t>
            </w:r>
            <w:r>
              <w:rPr>
                <w:rFonts w:hint="eastAsia" w:ascii="仿宋" w:hAnsi="仿宋" w:eastAsia="仿宋" w:cs="仿宋"/>
                <w:color w:val="auto"/>
                <w:sz w:val="28"/>
                <w:szCs w:val="28"/>
                <w:highlight w:val="none"/>
              </w:rPr>
              <w:t>投标文件正本密封包封为1包（内含价格文件、商务技术文件正本各1份）；</w:t>
            </w:r>
          </w:p>
          <w:p w14:paraId="4C6A4FA8">
            <w:pPr>
              <w:spacing w:line="360" w:lineRule="auto"/>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2、</w:t>
            </w:r>
            <w:r>
              <w:rPr>
                <w:rFonts w:hint="eastAsia" w:ascii="仿宋" w:hAnsi="仿宋" w:eastAsia="仿宋" w:cs="仿宋"/>
                <w:color w:val="auto"/>
                <w:sz w:val="28"/>
                <w:szCs w:val="28"/>
                <w:highlight w:val="none"/>
              </w:rPr>
              <w:t>投标文件副本密封包封为1包（内含价格文件、商务技术文件副本各</w:t>
            </w:r>
            <w:r>
              <w:rPr>
                <w:rFonts w:hint="eastAsia" w:ascii="仿宋" w:hAnsi="仿宋" w:eastAsia="仿宋" w:cs="仿宋"/>
                <w:color w:val="auto"/>
                <w:sz w:val="28"/>
                <w:szCs w:val="28"/>
                <w:highlight w:val="none"/>
                <w:u w:val="single"/>
                <w:lang w:val="en-US" w:eastAsia="zh-CN"/>
              </w:rPr>
              <w:t>7</w:t>
            </w:r>
            <w:r>
              <w:rPr>
                <w:rFonts w:hint="eastAsia" w:ascii="仿宋" w:hAnsi="仿宋" w:eastAsia="仿宋" w:cs="仿宋"/>
                <w:color w:val="auto"/>
                <w:sz w:val="28"/>
                <w:szCs w:val="28"/>
                <w:highlight w:val="none"/>
              </w:rPr>
              <w:t>份）；</w:t>
            </w:r>
          </w:p>
          <w:p w14:paraId="1A41AF78">
            <w:pPr>
              <w:spacing w:line="360" w:lineRule="auto"/>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3、</w:t>
            </w:r>
            <w:r>
              <w:rPr>
                <w:rFonts w:hint="eastAsia" w:ascii="仿宋" w:hAnsi="仿宋" w:eastAsia="仿宋" w:cs="仿宋"/>
                <w:color w:val="auto"/>
                <w:sz w:val="28"/>
                <w:szCs w:val="28"/>
                <w:highlight w:val="none"/>
              </w:rPr>
              <w:t>唱标信封密封包封为1包（内含唱标信封</w:t>
            </w:r>
            <w:r>
              <w:rPr>
                <w:rFonts w:hint="eastAsia" w:ascii="仿宋" w:hAnsi="仿宋" w:eastAsia="仿宋" w:cs="仿宋"/>
                <w:color w:val="auto"/>
                <w:sz w:val="28"/>
                <w:szCs w:val="28"/>
                <w:highlight w:val="none"/>
                <w:lang w:val="en-US" w:eastAsia="zh-CN"/>
              </w:rPr>
              <w:t>正副本各</w:t>
            </w:r>
            <w:r>
              <w:rPr>
                <w:rFonts w:hint="eastAsia" w:ascii="仿宋" w:hAnsi="仿宋" w:eastAsia="仿宋" w:cs="仿宋"/>
                <w:color w:val="auto"/>
                <w:sz w:val="28"/>
                <w:szCs w:val="28"/>
                <w:highlight w:val="none"/>
              </w:rPr>
              <w:t>1份，投标文件电子文件</w:t>
            </w:r>
            <w:r>
              <w:rPr>
                <w:rFonts w:hint="eastAsia" w:ascii="仿宋" w:hAnsi="仿宋" w:eastAsia="仿宋" w:cs="仿宋"/>
                <w:color w:val="auto"/>
                <w:sz w:val="28"/>
                <w:szCs w:val="28"/>
                <w:highlight w:val="none"/>
                <w:u w:val="single"/>
              </w:rPr>
              <w:t>1</w:t>
            </w:r>
            <w:r>
              <w:rPr>
                <w:rFonts w:hint="eastAsia" w:ascii="仿宋" w:hAnsi="仿宋" w:eastAsia="仿宋" w:cs="仿宋"/>
                <w:color w:val="auto"/>
                <w:sz w:val="28"/>
                <w:szCs w:val="28"/>
                <w:highlight w:val="none"/>
              </w:rPr>
              <w:t>份）；</w:t>
            </w:r>
          </w:p>
          <w:p w14:paraId="33915175">
            <w:pPr>
              <w:pStyle w:val="16"/>
              <w:spacing w:line="360" w:lineRule="auto"/>
              <w:jc w:val="both"/>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注：投标人应提交一套正本（包括价格文件、商务、技术文件，一起密封包装）、</w:t>
            </w:r>
            <w:r>
              <w:rPr>
                <w:rFonts w:hint="eastAsia" w:ascii="仿宋" w:hAnsi="仿宋" w:eastAsia="仿宋" w:cs="仿宋"/>
                <w:b/>
                <w:bCs/>
                <w:color w:val="auto"/>
                <w:sz w:val="28"/>
                <w:szCs w:val="28"/>
                <w:highlight w:val="none"/>
                <w:lang w:val="en-US" w:eastAsia="zh-CN"/>
              </w:rPr>
              <w:t>七</w:t>
            </w:r>
            <w:r>
              <w:rPr>
                <w:rFonts w:hint="eastAsia" w:ascii="仿宋" w:hAnsi="仿宋" w:eastAsia="仿宋" w:cs="仿宋"/>
                <w:b/>
                <w:bCs/>
                <w:color w:val="auto"/>
                <w:sz w:val="28"/>
                <w:szCs w:val="28"/>
                <w:highlight w:val="none"/>
              </w:rPr>
              <w:t>套副本（包括价格文件、商务、技术文件，一起密封包装）和一份唱标信封的投标文件，电子光盘内容应包含价格文件、商务、技术文件。</w:t>
            </w:r>
          </w:p>
        </w:tc>
      </w:tr>
      <w:tr w14:paraId="65D5AD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82" w:type="pct"/>
          </w:tcPr>
          <w:p w14:paraId="0038EB0D">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11</w:t>
            </w:r>
          </w:p>
        </w:tc>
        <w:tc>
          <w:tcPr>
            <w:tcW w:w="993" w:type="pct"/>
            <w:vAlign w:val="center"/>
          </w:tcPr>
          <w:p w14:paraId="7634E0F5">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中标候选供应商推荐家数</w:t>
            </w:r>
          </w:p>
        </w:tc>
        <w:tc>
          <w:tcPr>
            <w:tcW w:w="3424" w:type="pct"/>
            <w:vAlign w:val="center"/>
          </w:tcPr>
          <w:p w14:paraId="6D0EC3CC">
            <w:pPr>
              <w:pStyle w:val="16"/>
              <w:spacing w:line="360" w:lineRule="auto"/>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采购包1</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3家</w:t>
            </w:r>
          </w:p>
          <w:p w14:paraId="54A40393">
            <w:pPr>
              <w:pStyle w:val="16"/>
              <w:spacing w:line="360" w:lineRule="auto"/>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采购包</w:t>
            </w:r>
            <w:r>
              <w:rPr>
                <w:rFonts w:hint="eastAsia" w:ascii="仿宋" w:hAnsi="仿宋" w:eastAsia="仿宋" w:cs="仿宋"/>
                <w:color w:val="auto"/>
                <w:sz w:val="28"/>
                <w:szCs w:val="28"/>
                <w:highlight w:val="none"/>
                <w:lang w:val="en-US" w:eastAsia="zh-CN"/>
              </w:rPr>
              <w:t>2</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3家</w:t>
            </w:r>
          </w:p>
        </w:tc>
      </w:tr>
      <w:tr w14:paraId="7ECE4A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82" w:type="pct"/>
          </w:tcPr>
          <w:p w14:paraId="7029D7F9">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12</w:t>
            </w:r>
          </w:p>
        </w:tc>
        <w:tc>
          <w:tcPr>
            <w:tcW w:w="993" w:type="pct"/>
            <w:vAlign w:val="center"/>
          </w:tcPr>
          <w:p w14:paraId="5DA517BE">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中标</w:t>
            </w:r>
            <w:r>
              <w:rPr>
                <w:rFonts w:hint="eastAsia" w:ascii="仿宋" w:hAnsi="仿宋" w:eastAsia="仿宋" w:cs="仿宋"/>
                <w:color w:val="auto"/>
                <w:sz w:val="28"/>
                <w:szCs w:val="28"/>
                <w:highlight w:val="none"/>
                <w:lang w:eastAsia="zh-CN"/>
              </w:rPr>
              <w:t>人</w:t>
            </w:r>
            <w:r>
              <w:rPr>
                <w:rFonts w:hint="eastAsia" w:ascii="仿宋" w:hAnsi="仿宋" w:eastAsia="仿宋" w:cs="仿宋"/>
                <w:color w:val="auto"/>
                <w:sz w:val="28"/>
                <w:szCs w:val="28"/>
                <w:highlight w:val="none"/>
              </w:rPr>
              <w:t>数量</w:t>
            </w:r>
          </w:p>
        </w:tc>
        <w:tc>
          <w:tcPr>
            <w:tcW w:w="3424" w:type="pct"/>
            <w:vAlign w:val="center"/>
          </w:tcPr>
          <w:p w14:paraId="1D447DDC">
            <w:pPr>
              <w:pStyle w:val="16"/>
              <w:spacing w:line="360" w:lineRule="auto"/>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采购包1</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1家</w:t>
            </w:r>
          </w:p>
          <w:p w14:paraId="3D717D73">
            <w:pPr>
              <w:pStyle w:val="16"/>
              <w:spacing w:line="360" w:lineRule="auto"/>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采购包</w:t>
            </w:r>
            <w:r>
              <w:rPr>
                <w:rFonts w:hint="eastAsia" w:ascii="仿宋" w:hAnsi="仿宋" w:eastAsia="仿宋" w:cs="仿宋"/>
                <w:color w:val="auto"/>
                <w:sz w:val="28"/>
                <w:szCs w:val="28"/>
                <w:highlight w:val="none"/>
                <w:lang w:val="en-US" w:eastAsia="zh-CN"/>
              </w:rPr>
              <w:t>2</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1家</w:t>
            </w:r>
          </w:p>
        </w:tc>
      </w:tr>
      <w:tr w14:paraId="34618B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82" w:type="pct"/>
          </w:tcPr>
          <w:p w14:paraId="72C21952">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13</w:t>
            </w:r>
          </w:p>
        </w:tc>
        <w:tc>
          <w:tcPr>
            <w:tcW w:w="993" w:type="pct"/>
            <w:vAlign w:val="center"/>
          </w:tcPr>
          <w:p w14:paraId="421E5F69">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有效供应商家数</w:t>
            </w:r>
          </w:p>
        </w:tc>
        <w:tc>
          <w:tcPr>
            <w:tcW w:w="3424" w:type="pct"/>
            <w:vAlign w:val="center"/>
          </w:tcPr>
          <w:p w14:paraId="1CFFC948">
            <w:pPr>
              <w:pStyle w:val="16"/>
              <w:spacing w:line="360" w:lineRule="auto"/>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采购包1</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3家</w:t>
            </w:r>
          </w:p>
          <w:p w14:paraId="4E5B7F90">
            <w:pPr>
              <w:pStyle w:val="16"/>
              <w:spacing w:line="360" w:lineRule="auto"/>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采购包</w:t>
            </w:r>
            <w:r>
              <w:rPr>
                <w:rFonts w:hint="eastAsia" w:ascii="仿宋" w:hAnsi="仿宋" w:eastAsia="仿宋" w:cs="仿宋"/>
                <w:color w:val="auto"/>
                <w:sz w:val="28"/>
                <w:szCs w:val="28"/>
                <w:highlight w:val="none"/>
                <w:lang w:val="en-US" w:eastAsia="zh-CN"/>
              </w:rPr>
              <w:t>2</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3家</w:t>
            </w:r>
          </w:p>
          <w:p w14:paraId="798F5431">
            <w:pPr>
              <w:pStyle w:val="16"/>
              <w:spacing w:line="360" w:lineRule="auto"/>
              <w:ind w:firstLine="48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此人数约定了开标与评标过程中的最低有效供应商家数，当家数不足时项目将不得开标、不得评标或直接废标。</w:t>
            </w:r>
          </w:p>
        </w:tc>
      </w:tr>
      <w:tr w14:paraId="593000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82" w:type="pct"/>
          </w:tcPr>
          <w:p w14:paraId="7B95B424">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14</w:t>
            </w:r>
          </w:p>
        </w:tc>
        <w:tc>
          <w:tcPr>
            <w:tcW w:w="993" w:type="pct"/>
            <w:vAlign w:val="center"/>
          </w:tcPr>
          <w:p w14:paraId="7B1E172F">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项目兼投兼中（兼投不兼中）规则</w:t>
            </w:r>
          </w:p>
        </w:tc>
        <w:tc>
          <w:tcPr>
            <w:tcW w:w="3424" w:type="pct"/>
            <w:vAlign w:val="center"/>
          </w:tcPr>
          <w:p w14:paraId="4D8FA187">
            <w:pPr>
              <w:pStyle w:val="16"/>
              <w:spacing w:line="360" w:lineRule="auto"/>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兼投不兼中：本项目兼投不兼中，每个投标人最多只能被确定为1个子包的第一中标候选人。本项目按子包的顺序进行评审，依次按照评标总得分由高到低的顺序，每包组推荐两名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14:paraId="1B943E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82" w:type="pct"/>
          </w:tcPr>
          <w:p w14:paraId="0D4FF2BC">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15</w:t>
            </w:r>
          </w:p>
        </w:tc>
        <w:tc>
          <w:tcPr>
            <w:tcW w:w="993" w:type="pct"/>
            <w:vAlign w:val="center"/>
          </w:tcPr>
          <w:p w14:paraId="2D70ADF7">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中标</w:t>
            </w:r>
            <w:r>
              <w:rPr>
                <w:rFonts w:hint="eastAsia" w:ascii="仿宋" w:hAnsi="仿宋" w:eastAsia="仿宋" w:cs="仿宋"/>
                <w:color w:val="auto"/>
                <w:sz w:val="28"/>
                <w:szCs w:val="28"/>
                <w:highlight w:val="none"/>
                <w:lang w:eastAsia="zh-CN"/>
              </w:rPr>
              <w:t>人</w:t>
            </w:r>
            <w:r>
              <w:rPr>
                <w:rFonts w:hint="eastAsia" w:ascii="仿宋" w:hAnsi="仿宋" w:eastAsia="仿宋" w:cs="仿宋"/>
                <w:color w:val="auto"/>
                <w:sz w:val="28"/>
                <w:szCs w:val="28"/>
                <w:highlight w:val="none"/>
              </w:rPr>
              <w:t>确定方式</w:t>
            </w:r>
          </w:p>
        </w:tc>
        <w:tc>
          <w:tcPr>
            <w:tcW w:w="3424" w:type="pct"/>
            <w:vAlign w:val="center"/>
          </w:tcPr>
          <w:p w14:paraId="2D3CA872">
            <w:pPr>
              <w:pStyle w:val="16"/>
              <w:spacing w:line="360" w:lineRule="auto"/>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采购人按照评审报告中推荐的成交候选人确定中标（成交）人。</w:t>
            </w:r>
          </w:p>
        </w:tc>
      </w:tr>
      <w:tr w14:paraId="326281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82" w:type="pct"/>
          </w:tcPr>
          <w:p w14:paraId="50B73D0B">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16</w:t>
            </w:r>
          </w:p>
        </w:tc>
        <w:tc>
          <w:tcPr>
            <w:tcW w:w="993" w:type="pct"/>
            <w:vAlign w:val="center"/>
          </w:tcPr>
          <w:p w14:paraId="3CF0B510">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代理服务费</w:t>
            </w:r>
          </w:p>
        </w:tc>
        <w:tc>
          <w:tcPr>
            <w:tcW w:w="3424" w:type="pct"/>
            <w:vAlign w:val="center"/>
          </w:tcPr>
          <w:p w14:paraId="4495FE49">
            <w:pPr>
              <w:pStyle w:val="16"/>
              <w:spacing w:line="360" w:lineRule="auto"/>
              <w:jc w:val="both"/>
              <w:rPr>
                <w:rFonts w:hint="default" w:ascii="仿宋" w:hAnsi="仿宋" w:eastAsia="仿宋" w:cs="仿宋"/>
                <w:color w:val="auto"/>
                <w:sz w:val="28"/>
                <w:szCs w:val="28"/>
                <w:highlight w:val="none"/>
                <w:lang w:val="en-US"/>
              </w:rPr>
            </w:pPr>
            <w:r>
              <w:rPr>
                <w:rFonts w:hint="eastAsia" w:ascii="仿宋" w:hAnsi="仿宋" w:eastAsia="仿宋" w:cs="仿宋"/>
                <w:bCs/>
                <w:color w:val="auto"/>
                <w:sz w:val="28"/>
                <w:szCs w:val="28"/>
                <w:highlight w:val="none"/>
                <w:lang w:val="en-US" w:eastAsia="zh-CN"/>
              </w:rPr>
              <w:t>本项目采用定额方式收取代理服务费，服务费金额为：采购包1：¥70,000.00（大写：柒万元整）；采购包2：¥50,000.00（大写：伍万元整）。</w:t>
            </w:r>
          </w:p>
        </w:tc>
      </w:tr>
      <w:tr w14:paraId="21566D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82" w:type="pct"/>
          </w:tcPr>
          <w:p w14:paraId="0B968CBD">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17</w:t>
            </w:r>
          </w:p>
        </w:tc>
        <w:tc>
          <w:tcPr>
            <w:tcW w:w="993" w:type="pct"/>
            <w:vAlign w:val="center"/>
          </w:tcPr>
          <w:p w14:paraId="04741A1B">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代理服务费收取方式</w:t>
            </w:r>
          </w:p>
        </w:tc>
        <w:tc>
          <w:tcPr>
            <w:tcW w:w="3424" w:type="pct"/>
            <w:vAlign w:val="center"/>
          </w:tcPr>
          <w:p w14:paraId="6E1B7B83">
            <w:pPr>
              <w:pStyle w:val="16"/>
              <w:spacing w:line="360" w:lineRule="auto"/>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向中标/成交供应商收取</w:t>
            </w:r>
          </w:p>
        </w:tc>
      </w:tr>
      <w:tr w14:paraId="6ABE30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82" w:type="pct"/>
          </w:tcPr>
          <w:p w14:paraId="1F514882">
            <w:pPr>
              <w:pStyle w:val="16"/>
              <w:spacing w:line="360" w:lineRule="auto"/>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18</w:t>
            </w:r>
          </w:p>
        </w:tc>
        <w:tc>
          <w:tcPr>
            <w:tcW w:w="993" w:type="pct"/>
            <w:vAlign w:val="center"/>
          </w:tcPr>
          <w:p w14:paraId="0E705FD1">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专门面向中小企业采购</w:t>
            </w:r>
          </w:p>
        </w:tc>
        <w:tc>
          <w:tcPr>
            <w:tcW w:w="3424" w:type="pct"/>
            <w:vAlign w:val="center"/>
          </w:tcPr>
          <w:p w14:paraId="638B98F5">
            <w:pPr>
              <w:pStyle w:val="16"/>
              <w:spacing w:line="360" w:lineRule="auto"/>
              <w:jc w:val="both"/>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采购包1：</w:t>
            </w:r>
            <w:r>
              <w:rPr>
                <w:rFonts w:hint="eastAsia" w:ascii="仿宋" w:hAnsi="仿宋" w:eastAsia="仿宋" w:cs="仿宋"/>
                <w:color w:val="auto"/>
                <w:sz w:val="28"/>
                <w:szCs w:val="28"/>
                <w:highlight w:val="none"/>
                <w:lang w:val="en-US" w:eastAsia="zh-CN"/>
              </w:rPr>
              <w:t>本采购包不专门面向中小企业采购。</w:t>
            </w:r>
          </w:p>
          <w:p w14:paraId="43791680">
            <w:pPr>
              <w:pStyle w:val="16"/>
              <w:spacing w:line="360" w:lineRule="auto"/>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采购包</w:t>
            </w:r>
            <w:r>
              <w:rPr>
                <w:rFonts w:hint="eastAsia" w:ascii="仿宋" w:hAnsi="仿宋" w:eastAsia="仿宋" w:cs="仿宋"/>
                <w:color w:val="auto"/>
                <w:sz w:val="28"/>
                <w:szCs w:val="28"/>
                <w:highlight w:val="none"/>
                <w:lang w:val="en-US" w:eastAsia="zh-CN"/>
              </w:rPr>
              <w:t>2</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本采购包不专门面向中小企业采购。</w:t>
            </w:r>
          </w:p>
        </w:tc>
      </w:tr>
    </w:tbl>
    <w:p w14:paraId="3B7205A8">
      <w:pPr>
        <w:pStyle w:val="16"/>
        <w:spacing w:line="360" w:lineRule="auto"/>
        <w:outlineLvl w:val="1"/>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lang w:val="en-US" w:eastAsia="zh-CN"/>
        </w:rPr>
        <w:t>二</w:t>
      </w:r>
      <w:r>
        <w:rPr>
          <w:rFonts w:hint="eastAsia" w:ascii="仿宋" w:hAnsi="仿宋" w:eastAsia="仿宋" w:cs="仿宋"/>
          <w:b/>
          <w:color w:val="auto"/>
          <w:sz w:val="28"/>
          <w:szCs w:val="28"/>
          <w:highlight w:val="none"/>
        </w:rPr>
        <w:t>、名词解释</w:t>
      </w:r>
    </w:p>
    <w:p w14:paraId="66A73294">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1.采购代理机构：本项目是指东莞市德晟招标有限公司，负责整个采购活动的组织，依法负责编制和发布招标文件，对招标文件拥有最终的解释权，不以任何身份出任评标委员会成员。</w:t>
      </w:r>
    </w:p>
    <w:p w14:paraId="2BF4B574">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2.采购人：本项目是指</w:t>
      </w:r>
      <w:r>
        <w:rPr>
          <w:rFonts w:hint="eastAsia" w:ascii="仿宋" w:hAnsi="仿宋" w:eastAsia="仿宋" w:cs="仿宋"/>
          <w:color w:val="auto"/>
          <w:sz w:val="28"/>
          <w:szCs w:val="28"/>
          <w:highlight w:val="none"/>
          <w:lang w:eastAsia="zh-CN"/>
        </w:rPr>
        <w:t>东莞市常平镇中心小学</w:t>
      </w:r>
      <w:r>
        <w:rPr>
          <w:rFonts w:hint="eastAsia" w:ascii="仿宋" w:hAnsi="仿宋" w:eastAsia="仿宋" w:cs="仿宋"/>
          <w:color w:val="auto"/>
          <w:sz w:val="28"/>
          <w:szCs w:val="28"/>
          <w:highlight w:val="none"/>
        </w:rPr>
        <w:t>，是采购活动当事人之一，负责项目的整体规划、技术方案可行性设计论证与实施，作为合同采购方（用户）的主体承担质疑回复、履行合同、验收与评价等义务。</w:t>
      </w:r>
    </w:p>
    <w:p w14:paraId="4AF09123">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3.投标人：指响应投标并且符合招标文件规定资格条件和参加投标竞争的中华人民共和国境内的法人、其他组织或者自然人</w:t>
      </w:r>
      <w:r>
        <w:rPr>
          <w:rFonts w:hint="eastAsia" w:ascii="仿宋" w:hAnsi="仿宋" w:eastAsia="仿宋" w:cs="仿宋"/>
          <w:color w:val="auto"/>
          <w:sz w:val="28"/>
          <w:szCs w:val="28"/>
          <w:highlight w:val="none"/>
          <w:lang w:eastAsia="zh-CN"/>
        </w:rPr>
        <w:t>。</w:t>
      </w:r>
    </w:p>
    <w:p w14:paraId="39074802">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4.“评标委员会”是指</w:t>
      </w:r>
      <w:r>
        <w:rPr>
          <w:rFonts w:hint="eastAsia" w:ascii="仿宋" w:hAnsi="仿宋" w:eastAsia="仿宋" w:cs="仿宋"/>
          <w:color w:val="auto"/>
          <w:sz w:val="28"/>
          <w:szCs w:val="28"/>
          <w:highlight w:val="none"/>
          <w:lang w:val="en-US" w:eastAsia="zh-CN"/>
        </w:rPr>
        <w:t>参考</w:t>
      </w:r>
      <w:r>
        <w:rPr>
          <w:rFonts w:hint="eastAsia" w:ascii="仿宋" w:hAnsi="仿宋" w:eastAsia="仿宋" w:cs="仿宋"/>
          <w:color w:val="auto"/>
          <w:sz w:val="28"/>
          <w:szCs w:val="28"/>
          <w:highlight w:val="none"/>
        </w:rPr>
        <w:t>《中华人民共和国政府采购法》等法律法规规定，由采购人代表和有关专家组成以确定中标</w:t>
      </w:r>
      <w:r>
        <w:rPr>
          <w:rFonts w:hint="eastAsia" w:ascii="仿宋" w:hAnsi="仿宋" w:eastAsia="仿宋" w:cs="仿宋"/>
          <w:color w:val="auto"/>
          <w:sz w:val="28"/>
          <w:szCs w:val="28"/>
          <w:highlight w:val="none"/>
          <w:lang w:eastAsia="zh-CN"/>
        </w:rPr>
        <w:t>人</w:t>
      </w:r>
      <w:r>
        <w:rPr>
          <w:rFonts w:hint="eastAsia" w:ascii="仿宋" w:hAnsi="仿宋" w:eastAsia="仿宋" w:cs="仿宋"/>
          <w:color w:val="auto"/>
          <w:sz w:val="28"/>
          <w:szCs w:val="28"/>
          <w:highlight w:val="none"/>
        </w:rPr>
        <w:t>或者推荐中标候选人的临时组织。</w:t>
      </w:r>
    </w:p>
    <w:p w14:paraId="4C17E73D">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5.“中标</w:t>
      </w:r>
      <w:r>
        <w:rPr>
          <w:rFonts w:hint="eastAsia" w:ascii="仿宋" w:hAnsi="仿宋" w:eastAsia="仿宋" w:cs="仿宋"/>
          <w:color w:val="auto"/>
          <w:sz w:val="28"/>
          <w:szCs w:val="28"/>
          <w:highlight w:val="none"/>
          <w:lang w:eastAsia="zh-CN"/>
        </w:rPr>
        <w:t>人</w:t>
      </w:r>
      <w:r>
        <w:rPr>
          <w:rFonts w:hint="eastAsia" w:ascii="仿宋" w:hAnsi="仿宋" w:eastAsia="仿宋" w:cs="仿宋"/>
          <w:color w:val="auto"/>
          <w:sz w:val="28"/>
          <w:szCs w:val="28"/>
          <w:highlight w:val="none"/>
        </w:rPr>
        <w:t>”是指经评标委员会评审确定的对招标文件做出实质性响应，经采购人按照规定在评标委员会推荐的中标候选人中确定的或评标委员会受采购人委托直接确认的</w:t>
      </w:r>
      <w:r>
        <w:rPr>
          <w:rFonts w:hint="eastAsia" w:ascii="仿宋" w:hAnsi="仿宋" w:eastAsia="仿宋" w:cs="仿宋"/>
          <w:color w:val="auto"/>
          <w:sz w:val="28"/>
          <w:szCs w:val="28"/>
          <w:highlight w:val="none"/>
          <w:lang w:val="en-US" w:eastAsia="zh-CN"/>
        </w:rPr>
        <w:t>中</w:t>
      </w:r>
      <w:r>
        <w:rPr>
          <w:rFonts w:hint="eastAsia" w:ascii="仿宋" w:hAnsi="仿宋" w:eastAsia="仿宋" w:cs="仿宋"/>
          <w:color w:val="auto"/>
          <w:sz w:val="28"/>
          <w:szCs w:val="28"/>
          <w:highlight w:val="none"/>
        </w:rPr>
        <w:t>标人。</w:t>
      </w:r>
    </w:p>
    <w:p w14:paraId="09AC667B">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w:t>
      </w:r>
      <w:r>
        <w:rPr>
          <w:rFonts w:hint="eastAsia" w:ascii="仿宋" w:hAnsi="仿宋" w:eastAsia="仿宋" w:cs="仿宋"/>
          <w:color w:val="auto"/>
          <w:sz w:val="28"/>
          <w:szCs w:val="28"/>
          <w:highlight w:val="none"/>
          <w:lang w:val="en-US" w:eastAsia="zh-CN"/>
        </w:rPr>
        <w:t>投标</w:t>
      </w:r>
      <w:r>
        <w:rPr>
          <w:rFonts w:hint="eastAsia" w:ascii="仿宋" w:hAnsi="仿宋" w:eastAsia="仿宋" w:cs="仿宋"/>
          <w:color w:val="auto"/>
          <w:sz w:val="28"/>
          <w:szCs w:val="28"/>
          <w:highlight w:val="none"/>
        </w:rPr>
        <w:t>文件</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指投标人根据招标文件要求，编制包含报价、技术和商务等内容的实质性投标文件。</w:t>
      </w:r>
    </w:p>
    <w:p w14:paraId="0B332353">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7</w:t>
      </w:r>
      <w:r>
        <w:rPr>
          <w:rFonts w:hint="eastAsia" w:ascii="仿宋" w:hAnsi="仿宋" w:eastAsia="仿宋" w:cs="仿宋"/>
          <w:color w:val="auto"/>
          <w:sz w:val="28"/>
          <w:szCs w:val="28"/>
          <w:highlight w:val="none"/>
        </w:rPr>
        <w:t>.“全称”、“公司全称”、“加盖单位公章”及“公章”：在投标（响应）文件及相关的其他资料中，涉及“全称”或“公司全称”的应在对应文件编辑时使用文本录入方式，或在纸质投标（响应）文件上进行手写签名；涉及“加盖单位公章”和“公章”应使用投标人单位使用</w:t>
      </w:r>
      <w:r>
        <w:rPr>
          <w:rFonts w:hint="eastAsia" w:ascii="仿宋" w:hAnsi="仿宋" w:eastAsia="仿宋" w:cs="仿宋"/>
          <w:color w:val="auto"/>
          <w:sz w:val="28"/>
          <w:szCs w:val="28"/>
          <w:highlight w:val="none"/>
          <w:lang w:eastAsia="zh-CN"/>
        </w:rPr>
        <w:t>单位</w:t>
      </w:r>
      <w:r>
        <w:rPr>
          <w:rFonts w:hint="eastAsia" w:ascii="仿宋" w:hAnsi="仿宋" w:eastAsia="仿宋" w:cs="仿宋"/>
          <w:color w:val="auto"/>
          <w:sz w:val="28"/>
          <w:szCs w:val="28"/>
          <w:highlight w:val="none"/>
        </w:rPr>
        <w:t>印章完成。</w:t>
      </w:r>
    </w:p>
    <w:p w14:paraId="0D9292B3">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8</w:t>
      </w:r>
      <w:r>
        <w:rPr>
          <w:rFonts w:hint="eastAsia" w:ascii="仿宋" w:hAnsi="仿宋" w:eastAsia="仿宋" w:cs="仿宋"/>
          <w:color w:val="auto"/>
          <w:sz w:val="28"/>
          <w:szCs w:val="28"/>
          <w:highlight w:val="none"/>
        </w:rPr>
        <w:t>.“投标人代表签字”及“授权代表”：在投标（响应）文件及相关的其他电子资料中，涉及“投标人代表签字”或“授权代表”应在投标（响应）文件编辑时使用文本录入方式，或在纸质投标（响应）文件上进行手写签名。涉及“加盖单位公章”和“公章”应使用投标人单位使用</w:t>
      </w:r>
      <w:r>
        <w:rPr>
          <w:rFonts w:hint="eastAsia" w:ascii="仿宋" w:hAnsi="仿宋" w:eastAsia="仿宋" w:cs="仿宋"/>
          <w:color w:val="auto"/>
          <w:sz w:val="28"/>
          <w:szCs w:val="28"/>
          <w:highlight w:val="none"/>
          <w:lang w:eastAsia="zh-CN"/>
        </w:rPr>
        <w:t>单位</w:t>
      </w:r>
      <w:r>
        <w:rPr>
          <w:rFonts w:hint="eastAsia" w:ascii="仿宋" w:hAnsi="仿宋" w:eastAsia="仿宋" w:cs="仿宋"/>
          <w:color w:val="auto"/>
          <w:sz w:val="28"/>
          <w:szCs w:val="28"/>
          <w:highlight w:val="none"/>
        </w:rPr>
        <w:t>印章完成。</w:t>
      </w:r>
    </w:p>
    <w:p w14:paraId="1175C529">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9</w:t>
      </w:r>
      <w:r>
        <w:rPr>
          <w:rFonts w:hint="eastAsia" w:ascii="仿宋" w:hAnsi="仿宋" w:eastAsia="仿宋" w:cs="仿宋"/>
          <w:color w:val="auto"/>
          <w:sz w:val="28"/>
          <w:szCs w:val="28"/>
          <w:highlight w:val="none"/>
        </w:rPr>
        <w:t>.“法定代表人”：在投标（响应）文件及相关的其他资料中，涉及“法定代表人”应在纸质投标（响应）文件上进行手写签名。涉及“加盖单位公章”和“公章”应使用投标人单位使用</w:t>
      </w:r>
      <w:r>
        <w:rPr>
          <w:rFonts w:hint="eastAsia" w:ascii="仿宋" w:hAnsi="仿宋" w:eastAsia="仿宋" w:cs="仿宋"/>
          <w:color w:val="auto"/>
          <w:sz w:val="28"/>
          <w:szCs w:val="28"/>
          <w:highlight w:val="none"/>
          <w:lang w:eastAsia="zh-CN"/>
        </w:rPr>
        <w:t>单位</w:t>
      </w:r>
      <w:r>
        <w:rPr>
          <w:rFonts w:hint="eastAsia" w:ascii="仿宋" w:hAnsi="仿宋" w:eastAsia="仿宋" w:cs="仿宋"/>
          <w:color w:val="auto"/>
          <w:sz w:val="28"/>
          <w:szCs w:val="28"/>
          <w:highlight w:val="none"/>
        </w:rPr>
        <w:t>印章完成。</w:t>
      </w:r>
    </w:p>
    <w:p w14:paraId="55A1FD5B">
      <w:pPr>
        <w:pStyle w:val="16"/>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10</w:t>
      </w:r>
      <w:r>
        <w:rPr>
          <w:rFonts w:hint="eastAsia" w:ascii="仿宋" w:hAnsi="仿宋" w:eastAsia="仿宋" w:cs="仿宋"/>
          <w:color w:val="auto"/>
          <w:sz w:val="28"/>
          <w:szCs w:val="28"/>
          <w:highlight w:val="none"/>
        </w:rPr>
        <w:t>.日期、天数、时间：未有特别说明时，均为公历日（天）及北京时间。</w:t>
      </w:r>
    </w:p>
    <w:p w14:paraId="319F43DA">
      <w:pPr>
        <w:pStyle w:val="16"/>
        <w:spacing w:line="360" w:lineRule="auto"/>
        <w:outlineLvl w:val="1"/>
        <w:rPr>
          <w:rFonts w:hint="eastAsia" w:ascii="仿宋" w:hAnsi="仿宋" w:eastAsia="仿宋" w:cs="仿宋"/>
          <w:b/>
          <w:color w:val="auto"/>
          <w:sz w:val="28"/>
          <w:szCs w:val="28"/>
          <w:highlight w:val="none"/>
          <w:lang w:val="en-US" w:eastAsia="zh-CN"/>
        </w:rPr>
      </w:pPr>
      <w:r>
        <w:rPr>
          <w:rFonts w:hint="eastAsia" w:ascii="仿宋" w:hAnsi="仿宋" w:eastAsia="仿宋" w:cs="仿宋"/>
          <w:b/>
          <w:color w:val="auto"/>
          <w:sz w:val="28"/>
          <w:szCs w:val="28"/>
          <w:highlight w:val="none"/>
          <w:lang w:val="en-US" w:eastAsia="zh-CN"/>
        </w:rPr>
        <w:t>三、说明</w:t>
      </w:r>
    </w:p>
    <w:p w14:paraId="25CD4EBF">
      <w:pPr>
        <w:pStyle w:val="16"/>
        <w:spacing w:line="360" w:lineRule="auto"/>
        <w:outlineLvl w:val="2"/>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1.总则</w:t>
      </w:r>
    </w:p>
    <w:p w14:paraId="1B79EF1F">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采购人、采购代理机构及投标人进行的本次采购活动</w:t>
      </w:r>
      <w:r>
        <w:rPr>
          <w:rFonts w:hint="eastAsia" w:ascii="仿宋" w:hAnsi="仿宋" w:eastAsia="仿宋" w:cs="仿宋"/>
          <w:color w:val="auto"/>
          <w:sz w:val="28"/>
          <w:szCs w:val="28"/>
          <w:highlight w:val="none"/>
          <w:lang w:val="en-US" w:eastAsia="zh-CN"/>
        </w:rPr>
        <w:t>参考</w:t>
      </w:r>
      <w:r>
        <w:rPr>
          <w:rFonts w:hint="eastAsia" w:ascii="仿宋" w:hAnsi="仿宋" w:eastAsia="仿宋" w:cs="仿宋"/>
          <w:color w:val="auto"/>
          <w:sz w:val="28"/>
          <w:szCs w:val="28"/>
          <w:highlight w:val="none"/>
        </w:rPr>
        <w:t>《中华人民共和国政府采购法》及其配套的法规、规章、政策。</w:t>
      </w:r>
    </w:p>
    <w:p w14:paraId="02E8805D">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投标人应仔细阅读本项目招标公告及招标文件的所有内容（包括变更、补充、澄清以及修改等，且均为招标文件的组成部分），按照招标文件要求以及格式编制投标文件，并保证其真实性，否则一切后果自负。</w:t>
      </w:r>
    </w:p>
    <w:p w14:paraId="4A6ADB91">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本次公开招标项目，是以招标公告的方式邀请非特定的投标人参加投标。</w:t>
      </w:r>
    </w:p>
    <w:p w14:paraId="325AB9CD">
      <w:pPr>
        <w:pStyle w:val="16"/>
        <w:spacing w:line="360" w:lineRule="auto"/>
        <w:outlineLvl w:val="2"/>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2.适用范围</w:t>
      </w:r>
    </w:p>
    <w:p w14:paraId="14196B0D">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本招标文件仅适用于本次招标公告中所涉及的项目和内容。</w:t>
      </w:r>
    </w:p>
    <w:p w14:paraId="450E1534">
      <w:pPr>
        <w:pStyle w:val="16"/>
        <w:spacing w:line="360" w:lineRule="auto"/>
        <w:outlineLvl w:val="2"/>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3.进口产品</w:t>
      </w:r>
    </w:p>
    <w:p w14:paraId="5EAC5301">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若本项目允许采购进口产品，供应商应保证所投产品可履行合法报通关手续进入中国关境内。</w:t>
      </w:r>
    </w:p>
    <w:p w14:paraId="188ABF25">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若本项目不允许采购进口产品，如供应商所投产品为进口产品，其响应将被认定为响应无效。</w:t>
      </w:r>
    </w:p>
    <w:p w14:paraId="6C5AE708">
      <w:pPr>
        <w:pStyle w:val="16"/>
        <w:spacing w:line="360" w:lineRule="auto"/>
        <w:outlineLvl w:val="2"/>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4.投标的费用</w:t>
      </w:r>
    </w:p>
    <w:p w14:paraId="4294507E">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不论投标结果如何，投标人应承担所有与准备和参加投标有关的费用。采购代理机构和采购人均无义务和责任承担相关费用。</w:t>
      </w:r>
    </w:p>
    <w:p w14:paraId="361D7F57">
      <w:pPr>
        <w:pStyle w:val="16"/>
        <w:spacing w:line="360" w:lineRule="auto"/>
        <w:outlineLvl w:val="2"/>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5.以联合体形式投标的，应符合以下规定：</w:t>
      </w:r>
    </w:p>
    <w:p w14:paraId="666DDDCA">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5.1联合体各方均应当满足《中华人民共和国政府采购法》第二十二条规定的条件，并在投标文件中提供联合体各方的相关证明材料。</w:t>
      </w:r>
    </w:p>
    <w:p w14:paraId="42ABD434">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14:paraId="0F9D8C04">
      <w:pPr>
        <w:pStyle w:val="16"/>
        <w:spacing w:line="360" w:lineRule="auto"/>
        <w:ind w:firstLine="480"/>
        <w:outlineLvl w:val="3"/>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5.3对于需交投标保证金的，以牵头方名义缴纳。</w:t>
      </w:r>
    </w:p>
    <w:p w14:paraId="7F047C0A">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5.4联合体成员存在不良信用记录的，视同联合体存在不良信用记录。</w:t>
      </w:r>
    </w:p>
    <w:p w14:paraId="3C656C5B">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5.5联合体各方均应满足《中华人民共和国政府采购法》第二十二条规定的条件。</w:t>
      </w:r>
      <w:r>
        <w:rPr>
          <w:rFonts w:hint="eastAsia" w:ascii="仿宋" w:hAnsi="仿宋" w:eastAsia="仿宋" w:cs="仿宋"/>
          <w:color w:val="auto"/>
          <w:sz w:val="28"/>
          <w:szCs w:val="28"/>
          <w:highlight w:val="none"/>
          <w:lang w:val="en-US" w:eastAsia="zh-CN"/>
        </w:rPr>
        <w:t>参考</w:t>
      </w:r>
      <w:r>
        <w:rPr>
          <w:rFonts w:hint="eastAsia" w:ascii="仿宋" w:hAnsi="仿宋" w:eastAsia="仿宋" w:cs="仿宋"/>
          <w:color w:val="auto"/>
          <w:sz w:val="28"/>
          <w:szCs w:val="28"/>
          <w:highlight w:val="none"/>
        </w:rPr>
        <w:t>《中华人民共和国政府采购法实施条例》第二十二条，联合体中有同类资质的供应商按照联合体分工承担相同工作的，应当按照资质等级较低的供应商确定资质等级。</w:t>
      </w:r>
    </w:p>
    <w:p w14:paraId="3B33C764">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5.6联合体各方应当共同与采购人签订采购合同，就合同约定的事项对采购人承担连带责任。</w:t>
      </w:r>
    </w:p>
    <w:p w14:paraId="21E524A0">
      <w:pPr>
        <w:pStyle w:val="16"/>
        <w:spacing w:line="360" w:lineRule="auto"/>
        <w:outlineLvl w:val="2"/>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6.关联企业投标说明</w:t>
      </w:r>
    </w:p>
    <w:p w14:paraId="1FE6A126">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6.1 对于不接受联合体投标的采购项目（采购包）：法定代表人或单位负责人为同一个人或者存在直接控股、管理关系的不同供应商，不得同时参加同一项目或同一采购包的投标。如同时参加，则其投标将被拒绝。</w:t>
      </w:r>
    </w:p>
    <w:p w14:paraId="761240F9">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14:paraId="4C3412AA">
      <w:pPr>
        <w:pStyle w:val="16"/>
        <w:spacing w:line="360" w:lineRule="auto"/>
        <w:outlineLvl w:val="2"/>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7.关于中小微企业投标</w:t>
      </w:r>
    </w:p>
    <w:p w14:paraId="0CA7520B">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中小微企业响应是指在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采购活动中视同中小企业。中小企业划分见《关于印发中小企业划型标准规定的通知》（工信部联企业〔2011〕300号</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w:t>
      </w:r>
    </w:p>
    <w:p w14:paraId="20346521">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设区的市</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监狱、强制隔离戒毒所、戒毒康复所，以及新疆生产建设兵团监狱管理局、戒毒管理局的企业。监狱企业投标时，提供由省级以上监狱管理局、戒毒管理局</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含新疆生产建设兵团</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出具的属于监狱企业的证明文件，不再提供《中小企业声明函》。</w:t>
      </w:r>
    </w:p>
    <w:p w14:paraId="202F3A53">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根据财库〔2017〕141号《财政部 民政部 中国残疾人联合会关于促进残疾人就业政府采购政策的通知》，在采购活动中，残疾人福利性单位视同小型、微型企业，享受采购支持政策的残疾人福利性单位应当同时满足《财政部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采购活动时，应当提供《残疾人福利性单位声明函》，并对声明的真实性负责。</w:t>
      </w:r>
    </w:p>
    <w:p w14:paraId="395C8545">
      <w:pPr>
        <w:pStyle w:val="16"/>
        <w:spacing w:line="360" w:lineRule="auto"/>
        <w:outlineLvl w:val="2"/>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8.纪律与保密事项</w:t>
      </w:r>
    </w:p>
    <w:p w14:paraId="34E494F5">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8.1投标人不得相互串通投标报价，不得妨碍其他投标人的公平竞争，不得损害采购人或其他投标人的合法权益，投标人不得以向采购人、评标委员会成员行贿或者采取其他不正当手段谋取中标。</w:t>
      </w:r>
    </w:p>
    <w:p w14:paraId="65DDCCB5">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8.2在确定中标</w:t>
      </w:r>
      <w:r>
        <w:rPr>
          <w:rFonts w:hint="eastAsia" w:ascii="仿宋" w:hAnsi="仿宋" w:eastAsia="仿宋" w:cs="仿宋"/>
          <w:color w:val="auto"/>
          <w:sz w:val="28"/>
          <w:szCs w:val="28"/>
          <w:highlight w:val="none"/>
          <w:lang w:eastAsia="zh-CN"/>
        </w:rPr>
        <w:t>人</w:t>
      </w:r>
      <w:r>
        <w:rPr>
          <w:rFonts w:hint="eastAsia" w:ascii="仿宋" w:hAnsi="仿宋" w:eastAsia="仿宋" w:cs="仿宋"/>
          <w:color w:val="auto"/>
          <w:sz w:val="28"/>
          <w:szCs w:val="28"/>
          <w:highlight w:val="none"/>
        </w:rPr>
        <w:t>之前，投标人不得与采购人就投标价格、投标方案等实质性内容进行谈判，也不得私下接触评标委员会成员。</w:t>
      </w:r>
    </w:p>
    <w:p w14:paraId="7DAD3990">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8.3在确定中标</w:t>
      </w:r>
      <w:r>
        <w:rPr>
          <w:rFonts w:hint="eastAsia" w:ascii="仿宋" w:hAnsi="仿宋" w:eastAsia="仿宋" w:cs="仿宋"/>
          <w:color w:val="auto"/>
          <w:sz w:val="28"/>
          <w:szCs w:val="28"/>
          <w:highlight w:val="none"/>
          <w:lang w:eastAsia="zh-CN"/>
        </w:rPr>
        <w:t>人</w:t>
      </w:r>
      <w:r>
        <w:rPr>
          <w:rFonts w:hint="eastAsia" w:ascii="仿宋" w:hAnsi="仿宋" w:eastAsia="仿宋" w:cs="仿宋"/>
          <w:color w:val="auto"/>
          <w:sz w:val="28"/>
          <w:szCs w:val="28"/>
          <w:highlight w:val="none"/>
        </w:rPr>
        <w:t>之前，投标人试图在投标文件审查、澄清、比较和评价时对评标委员会、采购人和采购代理机构施加任何影响都可能导致其投标无效。</w:t>
      </w:r>
    </w:p>
    <w:p w14:paraId="2D04E83F">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8.4获得本招标文件者，须履行本项目下保密义务，不得将因本次项目获得的信息向第三人外传，不得将招标文件用作本次投标以外的任何用途。</w:t>
      </w:r>
    </w:p>
    <w:p w14:paraId="00E5F819">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14:paraId="3D6B5D4D">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8.6采购人或采购代理机构有权将供应商提供的所有资料向有关政府部门或评审小组披露。</w:t>
      </w:r>
    </w:p>
    <w:p w14:paraId="6E34BB25">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14:paraId="0E37F86A">
      <w:pPr>
        <w:pStyle w:val="16"/>
        <w:spacing w:line="360" w:lineRule="auto"/>
        <w:outlineLvl w:val="2"/>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9.语言文字以及度量衡单位</w:t>
      </w:r>
    </w:p>
    <w:p w14:paraId="2F085607">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14:paraId="6FD80F48">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9.2除非招标文件的技术规格中另有规定，投标人在投标文件中及其与采购人和采购代理机构的所有往来文件中的计量单位均应采用中华人民共和国法定计量单位。</w:t>
      </w:r>
    </w:p>
    <w:p w14:paraId="2E9B882C">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9.3投标人所提供的货物和服务均应以人民币报价，货币单位：元。</w:t>
      </w:r>
    </w:p>
    <w:p w14:paraId="79492315">
      <w:pPr>
        <w:pStyle w:val="16"/>
        <w:spacing w:line="360" w:lineRule="auto"/>
        <w:outlineLvl w:val="2"/>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10.现场踏勘（如有）</w:t>
      </w:r>
    </w:p>
    <w:p w14:paraId="4C836042">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10.1招标文件规定组织踏勘现场的，采购人按招标文件规定的时间、地点组织投标人踏勘项目现场。</w:t>
      </w:r>
    </w:p>
    <w:p w14:paraId="7F30E52E">
      <w:pPr>
        <w:pStyle w:val="16"/>
        <w:spacing w:line="360" w:lineRule="auto"/>
        <w:ind w:firstLine="480"/>
        <w:outlineLvl w:val="3"/>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10.2投标人自行承担踏勘现场发生的责任、风险和自身费用。</w:t>
      </w:r>
    </w:p>
    <w:p w14:paraId="3B5AA48A">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10.3采购人在踏勘现场中介绍的资料和数据等，只是为了使投标人能够利用招标人现有的资料。招标人对投标人由此而作出的推论、解释和结论概不负责。</w:t>
      </w:r>
    </w:p>
    <w:p w14:paraId="60585933">
      <w:pPr>
        <w:pStyle w:val="16"/>
        <w:spacing w:line="360" w:lineRule="auto"/>
        <w:outlineLvl w:val="1"/>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四、招标文件的澄清和修改</w:t>
      </w:r>
    </w:p>
    <w:p w14:paraId="4E3978A7">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评标委员会在对投标文件的有效性、完整性和响应程度进行审查时，可以要求投标人对投标文件中含义不明确、同类问题表述不一致或者有明显文字和计算错误的内容等作出必要的澄清、说明或者更正。投标人的澄清、说明或者更正不得超出招标文件的范围或者改变投标文件的实质性内容。</w:t>
      </w:r>
    </w:p>
    <w:p w14:paraId="4BF7D81C">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评标委员会要求投标人澄清、说明或者更正投标文件应当以书面形式作出。投标人的澄清、说明或者更正应当由法定代表人或其授权代表签字或者加盖公章。由授权代表签字的，应当附法定代表人授权书。投标人为自然人的，应当由本人签字并附身份证明。</w:t>
      </w:r>
    </w:p>
    <w:p w14:paraId="79B1179D">
      <w:pPr>
        <w:pStyle w:val="16"/>
        <w:spacing w:line="360" w:lineRule="auto"/>
        <w:outlineLvl w:val="1"/>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五、投标要求</w:t>
      </w:r>
    </w:p>
    <w:p w14:paraId="50779E92">
      <w:pPr>
        <w:pStyle w:val="16"/>
        <w:spacing w:line="360" w:lineRule="auto"/>
        <w:outlineLvl w:val="2"/>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1.投标登记</w:t>
      </w:r>
    </w:p>
    <w:p w14:paraId="0E5BCAA6">
      <w:pPr>
        <w:pStyle w:val="16"/>
        <w:spacing w:line="360" w:lineRule="auto"/>
        <w:ind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供应商</w:t>
      </w:r>
      <w:r>
        <w:rPr>
          <w:rFonts w:hint="eastAsia" w:ascii="仿宋" w:hAnsi="仿宋" w:eastAsia="仿宋" w:cs="仿宋"/>
          <w:color w:val="auto"/>
          <w:sz w:val="28"/>
          <w:szCs w:val="28"/>
          <w:highlight w:val="none"/>
        </w:rPr>
        <w:t>应从广东省东莞市东城街道罗沙路东城段1号国泰大厦1栋516室</w:t>
      </w:r>
      <w:r>
        <w:rPr>
          <w:rFonts w:hint="eastAsia" w:ascii="仿宋" w:hAnsi="仿宋" w:eastAsia="仿宋" w:cs="仿宋"/>
          <w:color w:val="auto"/>
          <w:sz w:val="28"/>
          <w:szCs w:val="28"/>
          <w:highlight w:val="none"/>
          <w:lang w:eastAsia="zh-CN"/>
        </w:rPr>
        <w:t>现场获取招标文件，</w:t>
      </w:r>
      <w:r>
        <w:rPr>
          <w:rFonts w:hint="eastAsia" w:ascii="仿宋" w:hAnsi="仿宋" w:eastAsia="仿宋" w:cs="仿宋"/>
          <w:color w:val="auto"/>
          <w:sz w:val="28"/>
          <w:szCs w:val="28"/>
          <w:highlight w:val="none"/>
          <w:lang w:val="en-US" w:eastAsia="zh-CN"/>
        </w:rPr>
        <w:t>未获取招标文件的供应商不具备投标资格。</w:t>
      </w:r>
    </w:p>
    <w:p w14:paraId="4ED0C062">
      <w:pPr>
        <w:pStyle w:val="16"/>
        <w:numPr>
          <w:ilvl w:val="0"/>
          <w:numId w:val="0"/>
        </w:numPr>
        <w:spacing w:line="360" w:lineRule="auto"/>
        <w:outlineLvl w:val="2"/>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lang w:val="en-US" w:eastAsia="zh-Hans"/>
        </w:rPr>
        <w:t>2.</w:t>
      </w:r>
      <w:r>
        <w:rPr>
          <w:rFonts w:hint="eastAsia" w:ascii="仿宋" w:hAnsi="仿宋" w:eastAsia="仿宋" w:cs="仿宋"/>
          <w:b/>
          <w:color w:val="auto"/>
          <w:sz w:val="28"/>
          <w:szCs w:val="28"/>
          <w:highlight w:val="none"/>
        </w:rPr>
        <w:t>投标文件的制作</w:t>
      </w:r>
    </w:p>
    <w:p w14:paraId="39FE1E70">
      <w:pPr>
        <w:pStyle w:val="16"/>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2.1投标人提交的投标文件以及投标人与采购代理机构就有关响应的所有来往函件均应使用简体中文书写。对于任何非中文的资料，都应提供简体中文翻译本，在解释投标文件时以翻译本为准。对中文翻译有异议的，以权威机构的译本为准。</w:t>
      </w:r>
    </w:p>
    <w:p w14:paraId="5EFBA335">
      <w:pPr>
        <w:pStyle w:val="16"/>
        <w:spacing w:line="360" w:lineRule="auto"/>
        <w:ind w:firstLine="560" w:firstLineChars="200"/>
        <w:rPr>
          <w:rFonts w:hint="eastAsia" w:ascii="仿宋" w:hAnsi="仿宋" w:eastAsia="仿宋" w:cs="仿宋"/>
          <w:b/>
          <w:bCs/>
          <w:color w:val="auto"/>
          <w:sz w:val="28"/>
          <w:szCs w:val="28"/>
          <w:highlight w:val="none"/>
          <w:lang w:eastAsia="zh-CN"/>
        </w:rPr>
      </w:pPr>
      <w:r>
        <w:rPr>
          <w:rFonts w:hint="eastAsia" w:ascii="仿宋" w:hAnsi="仿宋" w:eastAsia="仿宋" w:cs="仿宋"/>
          <w:color w:val="auto"/>
          <w:sz w:val="28"/>
          <w:szCs w:val="28"/>
          <w:highlight w:val="none"/>
        </w:rPr>
        <w:t>2.</w:t>
      </w:r>
      <w:r>
        <w:rPr>
          <w:rFonts w:hint="eastAsia" w:ascii="仿宋" w:hAnsi="仿宋" w:eastAsia="仿宋" w:cs="仿宋"/>
          <w:color w:val="auto"/>
          <w:sz w:val="28"/>
          <w:szCs w:val="28"/>
          <w:highlight w:val="none"/>
          <w:lang w:val="en-US" w:eastAsia="zh-CN"/>
        </w:rPr>
        <w:t>2</w:t>
      </w:r>
      <w:r>
        <w:rPr>
          <w:rFonts w:hint="eastAsia" w:ascii="仿宋" w:hAnsi="仿宋" w:eastAsia="仿宋" w:cs="仿宋"/>
          <w:color w:val="auto"/>
          <w:sz w:val="28"/>
          <w:szCs w:val="28"/>
          <w:highlight w:val="none"/>
        </w:rPr>
        <w:t>投标人编写的投标文件应包括下列部分</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价格文件</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商务、技术投标文件</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唱标信封（须独立密封）</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如有对多个采购包投标的，要对每个采购包独立制作电子投标文件。</w:t>
      </w:r>
      <w:r>
        <w:rPr>
          <w:rFonts w:hint="eastAsia" w:ascii="仿宋" w:hAnsi="仿宋" w:eastAsia="仿宋" w:cs="仿宋"/>
          <w:b/>
          <w:bCs/>
          <w:color w:val="auto"/>
          <w:sz w:val="28"/>
          <w:szCs w:val="28"/>
          <w:highlight w:val="none"/>
        </w:rPr>
        <w:t>详见招标文件“第</w:t>
      </w:r>
      <w:r>
        <w:rPr>
          <w:rFonts w:hint="eastAsia" w:ascii="仿宋" w:hAnsi="仿宋" w:eastAsia="仿宋" w:cs="仿宋"/>
          <w:b/>
          <w:bCs/>
          <w:color w:val="auto"/>
          <w:sz w:val="28"/>
          <w:szCs w:val="28"/>
          <w:highlight w:val="none"/>
          <w:lang w:val="en-US" w:eastAsia="zh-CN"/>
        </w:rPr>
        <w:t>六章</w:t>
      </w:r>
      <w:r>
        <w:rPr>
          <w:rFonts w:hint="eastAsia" w:ascii="仿宋" w:hAnsi="仿宋" w:eastAsia="仿宋" w:cs="仿宋"/>
          <w:b/>
          <w:bCs/>
          <w:color w:val="auto"/>
          <w:sz w:val="28"/>
          <w:szCs w:val="28"/>
          <w:highlight w:val="none"/>
        </w:rPr>
        <w:t xml:space="preserve"> 投标文件格式与要求”内容</w:t>
      </w:r>
      <w:r>
        <w:rPr>
          <w:rFonts w:hint="eastAsia" w:ascii="仿宋" w:hAnsi="仿宋" w:eastAsia="仿宋" w:cs="仿宋"/>
          <w:b/>
          <w:bCs/>
          <w:color w:val="auto"/>
          <w:sz w:val="28"/>
          <w:szCs w:val="28"/>
          <w:highlight w:val="none"/>
          <w:lang w:eastAsia="zh-CN"/>
        </w:rPr>
        <w:t>。</w:t>
      </w:r>
    </w:p>
    <w:p w14:paraId="31E6E1BF">
      <w:pPr>
        <w:pStyle w:val="16"/>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w:t>
      </w:r>
      <w:r>
        <w:rPr>
          <w:rFonts w:hint="eastAsia" w:ascii="仿宋" w:hAnsi="仿宋" w:eastAsia="仿宋" w:cs="仿宋"/>
          <w:color w:val="auto"/>
          <w:sz w:val="28"/>
          <w:szCs w:val="28"/>
          <w:highlight w:val="none"/>
          <w:lang w:val="en-US" w:eastAsia="zh-CN"/>
        </w:rPr>
        <w:t>3</w:t>
      </w:r>
      <w:r>
        <w:rPr>
          <w:rFonts w:hint="eastAsia" w:ascii="仿宋" w:hAnsi="仿宋" w:eastAsia="仿宋" w:cs="仿宋"/>
          <w:color w:val="auto"/>
          <w:sz w:val="28"/>
          <w:szCs w:val="28"/>
          <w:highlight w:val="none"/>
        </w:rPr>
        <w:t>投标人不得将同一个项目或同一个采购包的内容拆开投标，否则其报价将被视为非实质性响应。</w:t>
      </w:r>
    </w:p>
    <w:p w14:paraId="7FF73115">
      <w:pPr>
        <w:pStyle w:val="16"/>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w:t>
      </w: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rPr>
        <w:t>投标人须对招标文件的对应要求给予唯一的实质性响应，否则将视为不响应。</w:t>
      </w:r>
    </w:p>
    <w:p w14:paraId="3BC1BFB4">
      <w:pPr>
        <w:pStyle w:val="16"/>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招标文件中，凡标有“★”的地方均为实质性响应条款，投标人若有一项带“★”的条款未响应或不满足，将按无效投标处理。</w:t>
      </w:r>
    </w:p>
    <w:p w14:paraId="22510777">
      <w:pPr>
        <w:pStyle w:val="16"/>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w:t>
      </w:r>
      <w:r>
        <w:rPr>
          <w:rFonts w:hint="eastAsia" w:ascii="仿宋" w:hAnsi="仿宋" w:eastAsia="仿宋" w:cs="仿宋"/>
          <w:color w:val="auto"/>
          <w:sz w:val="28"/>
          <w:szCs w:val="28"/>
          <w:highlight w:val="none"/>
          <w:lang w:val="en-US" w:eastAsia="zh-CN"/>
        </w:rPr>
        <w:t>6</w:t>
      </w:r>
      <w:r>
        <w:rPr>
          <w:rFonts w:hint="eastAsia" w:ascii="仿宋" w:hAnsi="仿宋" w:eastAsia="仿宋" w:cs="仿宋"/>
          <w:color w:val="auto"/>
          <w:sz w:val="28"/>
          <w:szCs w:val="28"/>
          <w:highlight w:val="none"/>
        </w:rPr>
        <w:t>投标人必须按招标文件指定的格式填写各种报价，各报价应计算正确。除在招标文件另有规定外（如：报折扣、报优惠率等），计量单位应使用中华人民共和国法定计量单位，以人民币填报所有报价。</w:t>
      </w:r>
    </w:p>
    <w:p w14:paraId="14972C35">
      <w:pPr>
        <w:pStyle w:val="16"/>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w:t>
      </w:r>
      <w:r>
        <w:rPr>
          <w:rFonts w:hint="eastAsia" w:ascii="仿宋" w:hAnsi="仿宋" w:eastAsia="仿宋" w:cs="仿宋"/>
          <w:color w:val="auto"/>
          <w:sz w:val="28"/>
          <w:szCs w:val="28"/>
          <w:highlight w:val="none"/>
          <w:lang w:val="en-US" w:eastAsia="zh-CN"/>
        </w:rPr>
        <w:t>7</w:t>
      </w:r>
      <w:r>
        <w:rPr>
          <w:rFonts w:hint="eastAsia" w:ascii="仿宋" w:hAnsi="仿宋" w:eastAsia="仿宋" w:cs="仿宋"/>
          <w:color w:val="auto"/>
          <w:sz w:val="28"/>
          <w:szCs w:val="28"/>
          <w:highlight w:val="none"/>
        </w:rPr>
        <w:t>投标文件以及投标人与采购人、代理机构就有关投标的往来函电均应使用中文。投标人提交的支持性文件和印制的文件可以用另一种语言，但相应内容应翻译成中文，在解释投标文件时以中文文本为准。</w:t>
      </w:r>
    </w:p>
    <w:p w14:paraId="43BEADC8">
      <w:pPr>
        <w:pStyle w:val="16"/>
        <w:spacing w:line="360" w:lineRule="auto"/>
        <w:ind w:firstLine="560" w:firstLineChars="200"/>
        <w:rPr>
          <w:rFonts w:hint="eastAsia" w:ascii="仿宋" w:hAnsi="仿宋" w:eastAsia="仿宋" w:cs="仿宋"/>
          <w:b/>
          <w:color w:val="auto"/>
          <w:sz w:val="28"/>
          <w:szCs w:val="28"/>
          <w:highlight w:val="none"/>
        </w:rPr>
      </w:pPr>
      <w:r>
        <w:rPr>
          <w:rFonts w:hint="eastAsia" w:ascii="仿宋" w:hAnsi="仿宋" w:eastAsia="仿宋" w:cs="仿宋"/>
          <w:color w:val="auto"/>
          <w:sz w:val="28"/>
          <w:szCs w:val="28"/>
          <w:highlight w:val="none"/>
        </w:rPr>
        <w:t>2.</w:t>
      </w:r>
      <w:r>
        <w:rPr>
          <w:rFonts w:hint="eastAsia" w:ascii="仿宋" w:hAnsi="仿宋" w:eastAsia="仿宋" w:cs="仿宋"/>
          <w:color w:val="auto"/>
          <w:sz w:val="28"/>
          <w:szCs w:val="28"/>
          <w:highlight w:val="none"/>
          <w:lang w:val="en-US" w:eastAsia="zh-CN"/>
        </w:rPr>
        <w:t>8</w:t>
      </w:r>
      <w:r>
        <w:rPr>
          <w:rFonts w:hint="eastAsia" w:ascii="仿宋" w:hAnsi="仿宋" w:eastAsia="仿宋" w:cs="仿宋"/>
          <w:color w:val="auto"/>
          <w:sz w:val="28"/>
          <w:szCs w:val="28"/>
          <w:highlight w:val="none"/>
        </w:rPr>
        <w:t>投标人应按招标文件的规定及附件要求的内容和格式完整地填写和提供资料。投标人必须对投标文件所提供的全部资料的真实性承担法律责任，并无条件接受采购人和采购监督管理部门对其中任何资料进行核实（核对原件）的要求。采购人核对发现有不一致或供应商无正当理由不按时提供原件的，应当书面知会代理机构，并书面报告本级人民政府财政部门。</w:t>
      </w:r>
    </w:p>
    <w:p w14:paraId="46CC4297">
      <w:pPr>
        <w:pStyle w:val="16"/>
        <w:spacing w:line="360" w:lineRule="auto"/>
        <w:outlineLvl w:val="2"/>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3.投标文件的提交</w:t>
      </w:r>
    </w:p>
    <w:p w14:paraId="1C736170">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3</w:t>
      </w:r>
      <w:r>
        <w:rPr>
          <w:rFonts w:hint="eastAsia" w:ascii="仿宋" w:hAnsi="仿宋" w:eastAsia="仿宋" w:cs="仿宋"/>
          <w:color w:val="auto"/>
          <w:sz w:val="28"/>
          <w:szCs w:val="28"/>
          <w:highlight w:val="none"/>
        </w:rPr>
        <w:t>.1.投标人应将投标文件的正本、所有副本和唱标信封分开单独密封包装，在密封袋上清楚地标明“正本”、“副本”、“唱标信封”字样，并在密封袋的封口处加盖投标人公章。</w:t>
      </w:r>
    </w:p>
    <w:p w14:paraId="70620FDB">
      <w:pPr>
        <w:pStyle w:val="16"/>
        <w:spacing w:line="360" w:lineRule="auto"/>
        <w:ind w:firstLine="480"/>
        <w:outlineLvl w:val="3"/>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3</w:t>
      </w:r>
      <w:r>
        <w:rPr>
          <w:rFonts w:hint="eastAsia" w:ascii="仿宋" w:hAnsi="仿宋" w:eastAsia="仿宋" w:cs="仿宋"/>
          <w:color w:val="auto"/>
          <w:sz w:val="28"/>
          <w:szCs w:val="28"/>
          <w:highlight w:val="none"/>
        </w:rPr>
        <w:t>.2.在投标文件密封袋上均应标明以下内容：</w:t>
      </w:r>
    </w:p>
    <w:p w14:paraId="1B68A3F0">
      <w:pPr>
        <w:pStyle w:val="16"/>
        <w:spacing w:line="360" w:lineRule="auto"/>
        <w:ind w:firstLine="480"/>
        <w:outlineLvl w:val="4"/>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收 件 人：东莞市德晟招标有限公司；</w:t>
      </w:r>
    </w:p>
    <w:p w14:paraId="22693DF1">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2</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项目名称：</w:t>
      </w:r>
      <w:r>
        <w:rPr>
          <w:rFonts w:hint="eastAsia" w:ascii="仿宋" w:hAnsi="仿宋" w:eastAsia="仿宋" w:cs="仿宋"/>
          <w:color w:val="auto"/>
          <w:sz w:val="28"/>
          <w:szCs w:val="28"/>
          <w:highlight w:val="none"/>
          <w:u w:val="none"/>
        </w:rPr>
        <w:t>________________________________________</w:t>
      </w:r>
      <w:r>
        <w:rPr>
          <w:rFonts w:hint="eastAsia" w:ascii="仿宋" w:hAnsi="仿宋" w:eastAsia="仿宋" w:cs="仿宋"/>
          <w:color w:val="auto"/>
          <w:sz w:val="28"/>
          <w:szCs w:val="28"/>
          <w:highlight w:val="none"/>
        </w:rPr>
        <w:t>；</w:t>
      </w:r>
    </w:p>
    <w:p w14:paraId="476194D1">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3</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采购编号：________________________________________；</w:t>
      </w:r>
    </w:p>
    <w:p w14:paraId="7B503F32">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4</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采 购 包</w:t>
      </w:r>
      <w:r>
        <w:rPr>
          <w:rFonts w:hint="eastAsia" w:ascii="仿宋" w:hAnsi="仿宋" w:eastAsia="仿宋" w:cs="仿宋"/>
          <w:color w:val="auto"/>
          <w:sz w:val="28"/>
          <w:szCs w:val="28"/>
          <w:highlight w:val="none"/>
        </w:rPr>
        <w:t>：（      ）</w:t>
      </w:r>
    </w:p>
    <w:p w14:paraId="15EC4C85">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5</w:t>
      </w:r>
      <w:r>
        <w:rPr>
          <w:rFonts w:hint="eastAsia" w:ascii="仿宋" w:hAnsi="仿宋" w:eastAsia="仿宋" w:cs="仿宋"/>
          <w:color w:val="auto"/>
          <w:sz w:val="28"/>
          <w:szCs w:val="28"/>
          <w:highlight w:val="none"/>
          <w:lang w:eastAsia="zh-CN"/>
        </w:rPr>
        <w:t>）2025</w:t>
      </w:r>
      <w:r>
        <w:rPr>
          <w:rFonts w:hint="eastAsia" w:ascii="仿宋" w:hAnsi="仿宋" w:eastAsia="仿宋" w:cs="仿宋"/>
          <w:color w:val="auto"/>
          <w:sz w:val="28"/>
          <w:szCs w:val="28"/>
          <w:highlight w:val="none"/>
        </w:rPr>
        <w:t>年____月____日____时____分开启，此时间以前不得开封；</w:t>
      </w:r>
    </w:p>
    <w:p w14:paraId="1F4E5085">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6</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标明项目投标人名称、地址、联系人和电话以及文件的种类（如商务技术文件、唱标信封等）。</w:t>
      </w:r>
    </w:p>
    <w:p w14:paraId="0520BBAC">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3</w:t>
      </w:r>
      <w:r>
        <w:rPr>
          <w:rFonts w:hint="eastAsia" w:ascii="仿宋" w:hAnsi="仿宋" w:eastAsia="仿宋" w:cs="仿宋"/>
          <w:color w:val="auto"/>
          <w:sz w:val="28"/>
          <w:szCs w:val="28"/>
          <w:highlight w:val="none"/>
        </w:rPr>
        <w:t>.3.所有信封封面应写明投标人名称、地址、联系人及联系方式，以便将迟交或其它不符合要求的投标文件能原封退回。</w:t>
      </w:r>
    </w:p>
    <w:p w14:paraId="5371F7CC">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3</w:t>
      </w:r>
      <w:r>
        <w:rPr>
          <w:rFonts w:hint="eastAsia" w:ascii="仿宋" w:hAnsi="仿宋" w:eastAsia="仿宋" w:cs="仿宋"/>
          <w:color w:val="auto"/>
          <w:sz w:val="28"/>
          <w:szCs w:val="28"/>
          <w:highlight w:val="none"/>
        </w:rPr>
        <w:t>.4.如果投标人未按本须知要求加写标记和密封，采购代理机构概不接受；且对所有投标文件的误投或提前启封概不负责。</w:t>
      </w:r>
    </w:p>
    <w:p w14:paraId="21926007">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3</w:t>
      </w:r>
      <w:r>
        <w:rPr>
          <w:rFonts w:hint="eastAsia" w:ascii="仿宋" w:hAnsi="仿宋" w:eastAsia="仿宋" w:cs="仿宋"/>
          <w:color w:val="auto"/>
          <w:sz w:val="28"/>
          <w:szCs w:val="28"/>
          <w:highlight w:val="none"/>
        </w:rPr>
        <w:t>.5.如有分包的项目，投标人同时参加几个包投标时必须按招标文件要求以包为单位分别制作投标文件，分别密封递交。</w:t>
      </w:r>
    </w:p>
    <w:p w14:paraId="17C55D70">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3</w:t>
      </w:r>
      <w:r>
        <w:rPr>
          <w:rFonts w:hint="eastAsia" w:ascii="仿宋" w:hAnsi="仿宋" w:eastAsia="仿宋" w:cs="仿宋"/>
          <w:color w:val="auto"/>
          <w:sz w:val="28"/>
          <w:szCs w:val="28"/>
          <w:highlight w:val="none"/>
        </w:rPr>
        <w:t>.6.除招标文件特别说明外，投标人所递交的投标文件不予退还。</w:t>
      </w:r>
    </w:p>
    <w:p w14:paraId="56838FDA">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3</w:t>
      </w:r>
      <w:r>
        <w:rPr>
          <w:rFonts w:hint="eastAsia" w:ascii="仿宋" w:hAnsi="仿宋" w:eastAsia="仿宋" w:cs="仿宋"/>
          <w:color w:val="auto"/>
          <w:sz w:val="28"/>
          <w:szCs w:val="28"/>
          <w:highlight w:val="none"/>
        </w:rPr>
        <w:t>.7.采购代理机构对因不可抗力事件造成的投标文件的损坏、丢失不承担责任。</w:t>
      </w:r>
    </w:p>
    <w:p w14:paraId="44E38D97">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3.8</w:t>
      </w:r>
      <w:r>
        <w:rPr>
          <w:rFonts w:hint="eastAsia" w:ascii="仿宋" w:hAnsi="仿宋" w:eastAsia="仿宋" w:cs="仿宋"/>
          <w:color w:val="auto"/>
          <w:sz w:val="28"/>
          <w:szCs w:val="28"/>
          <w:highlight w:val="none"/>
        </w:rPr>
        <w:t>投标人应在招标文件规定的截止日期和时间前，将投标文件送达到指定地点，递交投标文件时需另外递交法人身份证明书、法人授权委托书、投标保证金汇入情况说明或采购投标担保函各一份加盖公章。</w:t>
      </w:r>
    </w:p>
    <w:p w14:paraId="263480F0">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3.9</w:t>
      </w:r>
      <w:r>
        <w:rPr>
          <w:rFonts w:hint="eastAsia" w:ascii="仿宋" w:hAnsi="仿宋" w:eastAsia="仿宋" w:cs="仿宋"/>
          <w:color w:val="auto"/>
          <w:sz w:val="28"/>
          <w:szCs w:val="28"/>
          <w:highlight w:val="none"/>
        </w:rPr>
        <w:t>.采购代理机构可按本须知规定以澄清或修改通知的方式，酌情延长递交投标文件的截止时间。在此情况下，投标人的所有权利和义务以及投标人受制约的截止时间，均以延长后新的开启截止时间为准。</w:t>
      </w:r>
    </w:p>
    <w:p w14:paraId="5B57E502">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3.10</w:t>
      </w:r>
      <w:r>
        <w:rPr>
          <w:rFonts w:hint="eastAsia" w:ascii="仿宋" w:hAnsi="仿宋" w:eastAsia="仿宋" w:cs="仿宋"/>
          <w:color w:val="auto"/>
          <w:sz w:val="28"/>
          <w:szCs w:val="28"/>
          <w:highlight w:val="none"/>
        </w:rPr>
        <w:t>.采购代理机构在递交投标文件截止时间以后收到的投标文件，将被拒绝并退回给投标人。</w:t>
      </w:r>
    </w:p>
    <w:p w14:paraId="716BE265">
      <w:pPr>
        <w:pStyle w:val="16"/>
        <w:spacing w:line="360" w:lineRule="auto"/>
        <w:ind w:firstLine="480"/>
        <w:outlineLvl w:val="3"/>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3.11</w:t>
      </w:r>
      <w:r>
        <w:rPr>
          <w:rFonts w:hint="eastAsia" w:ascii="仿宋" w:hAnsi="仿宋" w:eastAsia="仿宋" w:cs="仿宋"/>
          <w:color w:val="auto"/>
          <w:sz w:val="28"/>
          <w:szCs w:val="28"/>
          <w:highlight w:val="none"/>
        </w:rPr>
        <w:t>.有违反其它法律规定情形的，采购代理机构将拒绝接收。</w:t>
      </w:r>
    </w:p>
    <w:p w14:paraId="682E5453">
      <w:pPr>
        <w:pStyle w:val="16"/>
        <w:spacing w:line="360" w:lineRule="auto"/>
        <w:outlineLvl w:val="2"/>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4.投标文件的修改、撤回与撤销</w:t>
      </w:r>
    </w:p>
    <w:p w14:paraId="26511088">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4.1.投标人在提交投标文件以后，在规定的递交投标文件截止时间之前，可以书面形式补充修改或撤回已提交的投标文件，并以书面形式通知采购人。补充、修改的内容为投标文件的组成部分。</w:t>
      </w:r>
    </w:p>
    <w:p w14:paraId="00F65651">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4.2.投标人对投标文件的补充、修改，应按本须知密封、标记相关规定提交，并在内外层投标文件密封袋上清楚标明“补充、修改”或“撤回”字样。</w:t>
      </w:r>
    </w:p>
    <w:p w14:paraId="3968A03A">
      <w:pPr>
        <w:pStyle w:val="16"/>
        <w:spacing w:line="360" w:lineRule="auto"/>
        <w:ind w:firstLine="48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4.3.在递交投标文件截止时间之后，投标人不得补充、修改投标文件。</w:t>
      </w:r>
    </w:p>
    <w:p w14:paraId="4CCBAD7F">
      <w:pPr>
        <w:pStyle w:val="16"/>
        <w:spacing w:line="360" w:lineRule="auto"/>
        <w:ind w:firstLine="48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4.4.在递交投标文件截止时间至投标有效期满之前，投标人不得撤回其投标文件。</w:t>
      </w:r>
    </w:p>
    <w:p w14:paraId="000B9483">
      <w:pPr>
        <w:pStyle w:val="16"/>
        <w:spacing w:line="360" w:lineRule="auto"/>
        <w:outlineLvl w:val="2"/>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5.开启投标文件</w:t>
      </w:r>
    </w:p>
    <w:p w14:paraId="4CFFECD8">
      <w:pPr>
        <w:pStyle w:val="16"/>
        <w:spacing w:line="360" w:lineRule="auto"/>
        <w:ind w:firstLine="48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1.采购代理机构按照本招标文件所规定的时间和地点组织开启投标文件，并邀请所有投标人代表参加</w:t>
      </w:r>
      <w:r>
        <w:rPr>
          <w:rFonts w:hint="eastAsia" w:ascii="仿宋" w:hAnsi="仿宋" w:eastAsia="仿宋" w:cs="仿宋"/>
          <w:color w:val="auto"/>
          <w:sz w:val="28"/>
          <w:szCs w:val="28"/>
          <w:highlight w:val="none"/>
          <w:lang w:eastAsia="zh-CN"/>
        </w:rPr>
        <w:t>。</w:t>
      </w:r>
    </w:p>
    <w:p w14:paraId="23E9199D">
      <w:pPr>
        <w:pStyle w:val="16"/>
        <w:spacing w:line="360" w:lineRule="auto"/>
        <w:ind w:firstLine="48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5.2.按招标文件规定提交撤回通知的投标文件不予开封，并退回给投标人。</w:t>
      </w:r>
    </w:p>
    <w:p w14:paraId="624255F1">
      <w:pPr>
        <w:pStyle w:val="16"/>
        <w:spacing w:line="360" w:lineRule="auto"/>
        <w:ind w:firstLine="48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5.3.投标文件开启由采购代理机构主持，投标人的法定代表人或其授权代表携带有效身份证明准时参加并签名报到。</w:t>
      </w:r>
    </w:p>
    <w:p w14:paraId="5E8EBF57">
      <w:pPr>
        <w:pStyle w:val="16"/>
        <w:spacing w:line="360" w:lineRule="auto"/>
        <w:ind w:firstLine="48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5.4.开启时，由投标人或者其推选的代表检查投标文件的密封情况；经确认无误后，由采购人或者采购代理机构工作人员当众拆封，宣布投标人名称和招标文件规定的需要宣布的其他内容。</w:t>
      </w:r>
    </w:p>
    <w:p w14:paraId="21257B95">
      <w:pPr>
        <w:pStyle w:val="16"/>
        <w:spacing w:line="360" w:lineRule="auto"/>
        <w:ind w:firstLine="48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5.5.投标人代表对开启过程和开启记录有异议，以及认为采购人、采购代理机构相关工作人员有需要回避的情形的，应当场提出询问或者回避申请。开启现场未提出异议的视为认同开启结果。开启结束后，投标人对开启过程和开启记录不得再提出异议。</w:t>
      </w:r>
    </w:p>
    <w:p w14:paraId="1E129A23">
      <w:pPr>
        <w:pStyle w:val="16"/>
        <w:spacing w:line="360" w:lineRule="auto"/>
        <w:ind w:firstLine="48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5.6.合格投标人不足3家的，不得开启。</w:t>
      </w:r>
    </w:p>
    <w:p w14:paraId="14EA2DAC">
      <w:pPr>
        <w:pStyle w:val="16"/>
        <w:spacing w:line="360" w:lineRule="auto"/>
        <w:ind w:firstLine="48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5.7.投标人未参加开启的，视同认可开启结果。</w:t>
      </w:r>
    </w:p>
    <w:p w14:paraId="1A178532">
      <w:pPr>
        <w:pStyle w:val="16"/>
        <w:spacing w:line="360" w:lineRule="auto"/>
        <w:ind w:firstLine="48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5.8.开启过程应当由采购人或者采购代理机构负责记录，由参加开启的各投标人代表和相关工作人员签字确认。</w:t>
      </w:r>
    </w:p>
    <w:p w14:paraId="6945F316">
      <w:pPr>
        <w:pStyle w:val="16"/>
        <w:spacing w:line="360" w:lineRule="auto"/>
        <w:outlineLvl w:val="2"/>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6.投标保证金</w:t>
      </w:r>
    </w:p>
    <w:p w14:paraId="340B0B70">
      <w:pPr>
        <w:pStyle w:val="16"/>
        <w:spacing w:line="360" w:lineRule="auto"/>
        <w:ind w:firstLine="480"/>
        <w:outlineLvl w:val="3"/>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6.1投标保证金的缴纳</w:t>
      </w:r>
    </w:p>
    <w:p w14:paraId="3B104FDF">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投标人在提交投标文件时，应按投标人须知前附表规定的金额和缴纳要求缴纳投标保证金，并作为其投标文件的组成部分。</w:t>
      </w:r>
    </w:p>
    <w:p w14:paraId="5285ABF5">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如采用转账、支票、本票、汇票形式提交的，投标保证金从投标人基本账户递交，由东莞市德晟招标有限公司代收。具体操作要求详见东莞市德晟招标有限公司有关指引，递交事宜请自行咨询东莞市德晟招标有限公司；请各投标人在投标文件递交截止时间前按须知前附表规定的金额递交至东莞市德晟招标有限公司，到账情况以开标时东莞市德晟招标有限公司查询的信息为准。</w:t>
      </w:r>
    </w:p>
    <w:p w14:paraId="0D9CFB1D">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如采用金融机构、专业担保机构开具的投标担保函、投标保证保险函等形式提交投标保证金的，投标担保函或投标保证保险函须开具给采购人（保险受益人须为采购人），并与投标文件一同递交。</w:t>
      </w:r>
    </w:p>
    <w:p w14:paraId="5171824B">
      <w:pPr>
        <w:pStyle w:val="16"/>
        <w:spacing w:line="360" w:lineRule="auto"/>
        <w:ind w:firstLine="560" w:firstLineChars="200"/>
        <w:outlineLvl w:val="3"/>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6.2投标保证金的退还：</w:t>
      </w:r>
    </w:p>
    <w:p w14:paraId="0B93A9D4">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（1）投标人在投标截止时间前放弃投标的，自所投采购包结果公告发出后5个工作日内退还。</w:t>
      </w:r>
    </w:p>
    <w:p w14:paraId="48DAFB1E">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（2）未中标的投标人投标保证金，自中标通知书发出之日起5个工作日内退还。</w:t>
      </w:r>
    </w:p>
    <w:p w14:paraId="13B8B13B">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（3）中标</w:t>
      </w:r>
      <w:r>
        <w:rPr>
          <w:rFonts w:hint="eastAsia" w:ascii="仿宋" w:hAnsi="仿宋" w:eastAsia="仿宋" w:cs="仿宋"/>
          <w:color w:val="auto"/>
          <w:sz w:val="28"/>
          <w:szCs w:val="28"/>
          <w:highlight w:val="none"/>
          <w:lang w:eastAsia="zh-CN"/>
        </w:rPr>
        <w:t>人</w:t>
      </w:r>
      <w:r>
        <w:rPr>
          <w:rFonts w:hint="eastAsia" w:ascii="仿宋" w:hAnsi="仿宋" w:eastAsia="仿宋" w:cs="仿宋"/>
          <w:color w:val="auto"/>
          <w:sz w:val="28"/>
          <w:szCs w:val="28"/>
          <w:highlight w:val="none"/>
        </w:rPr>
        <w:t>的投标保证金，自采购合同签订之日起5个工作日内退还。</w:t>
      </w:r>
    </w:p>
    <w:p w14:paraId="31602BB2">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备注：但因投标人自身原因导致无法及时退还的除外。</w:t>
      </w:r>
    </w:p>
    <w:p w14:paraId="7B4E8932">
      <w:pPr>
        <w:pStyle w:val="16"/>
        <w:spacing w:line="360" w:lineRule="auto"/>
        <w:ind w:firstLine="480"/>
        <w:outlineLvl w:val="3"/>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6.3有下列情形之一的，投标保证金将不予退还：</w:t>
      </w:r>
    </w:p>
    <w:p w14:paraId="2F847D65">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（1）提供虚假材料谋取中标、成交的；</w:t>
      </w:r>
    </w:p>
    <w:p w14:paraId="3DC60FB8">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（2）投标人在招标文件规定的投标有效期内撤销其投标；</w:t>
      </w:r>
    </w:p>
    <w:p w14:paraId="25B04E2F">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（3）中标后，无正当理由放弃中标资格；</w:t>
      </w:r>
    </w:p>
    <w:p w14:paraId="054D95A8">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（4）中标后，无正当理由不与采购人签订合同；</w:t>
      </w:r>
    </w:p>
    <w:p w14:paraId="5CE12E3E">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（5）法律法规和招标文件规定的其他情形。</w:t>
      </w:r>
    </w:p>
    <w:p w14:paraId="79C5A41C">
      <w:pPr>
        <w:pStyle w:val="16"/>
        <w:spacing w:line="360" w:lineRule="auto"/>
        <w:outlineLvl w:val="2"/>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7.投标有效期</w:t>
      </w:r>
    </w:p>
    <w:p w14:paraId="739DAB02">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7.1投标有效期内投标人撤销投标文件的，采购人或者采购代理机构可以不退还投标保证金（如有）。采用投标保函方式替代保证金的，采购人或者采购代理机构可以向担保机构索赔保证金。</w:t>
      </w:r>
    </w:p>
    <w:p w14:paraId="13D362AE">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14:paraId="44EB9E25">
      <w:pPr>
        <w:pStyle w:val="16"/>
        <w:spacing w:line="360" w:lineRule="auto"/>
        <w:outlineLvl w:val="2"/>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8.样品（演示）</w:t>
      </w:r>
    </w:p>
    <w:p w14:paraId="23A273D5">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8.1招标文件规定投标人提交样品的，样品属于投标文件的组成部分。样品的生产、运输、安装、保全等一切费用由投标人自理。</w:t>
      </w:r>
    </w:p>
    <w:p w14:paraId="47468BD4">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8.2投标截止时间前，投标人应将样品送达至指定地点。若需要现场演示的，投标人应提前做好演示准备（包括演示设备）。</w:t>
      </w:r>
    </w:p>
    <w:p w14:paraId="7EF57F2D">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8.3采购结果公告发布后，中标</w:t>
      </w:r>
      <w:r>
        <w:rPr>
          <w:rFonts w:hint="eastAsia" w:ascii="仿宋" w:hAnsi="仿宋" w:eastAsia="仿宋" w:cs="仿宋"/>
          <w:color w:val="auto"/>
          <w:sz w:val="28"/>
          <w:szCs w:val="28"/>
          <w:highlight w:val="none"/>
          <w:lang w:eastAsia="zh-CN"/>
        </w:rPr>
        <w:t>人</w:t>
      </w:r>
      <w:r>
        <w:rPr>
          <w:rFonts w:hint="eastAsia" w:ascii="仿宋" w:hAnsi="仿宋" w:eastAsia="仿宋" w:cs="仿宋"/>
          <w:color w:val="auto"/>
          <w:sz w:val="28"/>
          <w:szCs w:val="28"/>
          <w:highlight w:val="none"/>
        </w:rPr>
        <w:t>的样品由采购人封存，作为履约验收的依据之一。未中标</w:t>
      </w:r>
      <w:r>
        <w:rPr>
          <w:rFonts w:hint="eastAsia" w:ascii="仿宋" w:hAnsi="仿宋" w:eastAsia="仿宋" w:cs="仿宋"/>
          <w:color w:val="auto"/>
          <w:sz w:val="28"/>
          <w:szCs w:val="28"/>
          <w:highlight w:val="none"/>
          <w:lang w:eastAsia="zh-CN"/>
        </w:rPr>
        <w:t>人</w:t>
      </w:r>
      <w:r>
        <w:rPr>
          <w:rFonts w:hint="eastAsia" w:ascii="仿宋" w:hAnsi="仿宋" w:eastAsia="仿宋" w:cs="仿宋"/>
          <w:color w:val="auto"/>
          <w:sz w:val="28"/>
          <w:szCs w:val="28"/>
          <w:highlight w:val="none"/>
        </w:rPr>
        <w:t>在接到采购代理机构通知后，应按规定时间尽快自行取回样品，否则视同供应商不再认领，代理机构有权进行处理。</w:t>
      </w:r>
    </w:p>
    <w:p w14:paraId="6195E209">
      <w:pPr>
        <w:pStyle w:val="16"/>
        <w:spacing w:line="360" w:lineRule="auto"/>
        <w:outlineLvl w:val="2"/>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9.除招标文件另有规定外，有下列情形之一的，投标无效：</w:t>
      </w:r>
    </w:p>
    <w:p w14:paraId="7405D22D">
      <w:pPr>
        <w:pStyle w:val="16"/>
        <w:spacing w:line="360" w:lineRule="auto"/>
        <w:ind w:firstLine="48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9.1投标文件未按</w:t>
      </w:r>
      <w:r>
        <w:rPr>
          <w:rFonts w:hint="eastAsia" w:ascii="仿宋" w:hAnsi="仿宋" w:eastAsia="仿宋" w:cs="仿宋"/>
          <w:color w:val="auto"/>
          <w:sz w:val="28"/>
          <w:szCs w:val="28"/>
          <w:highlight w:val="none"/>
          <w:lang w:val="en-US" w:eastAsia="zh-CN"/>
        </w:rPr>
        <w:t>招标文件</w:t>
      </w:r>
      <w:r>
        <w:rPr>
          <w:rFonts w:hint="eastAsia" w:ascii="仿宋" w:hAnsi="仿宋" w:eastAsia="仿宋" w:cs="仿宋"/>
          <w:color w:val="auto"/>
          <w:sz w:val="28"/>
          <w:szCs w:val="28"/>
          <w:highlight w:val="none"/>
        </w:rPr>
        <w:t>要求密封</w:t>
      </w:r>
      <w:r>
        <w:rPr>
          <w:rFonts w:hint="eastAsia" w:ascii="仿宋" w:hAnsi="仿宋" w:eastAsia="仿宋" w:cs="仿宋"/>
          <w:color w:val="auto"/>
          <w:sz w:val="28"/>
          <w:szCs w:val="28"/>
          <w:highlight w:val="none"/>
          <w:lang w:eastAsia="zh-CN"/>
        </w:rPr>
        <w:t>；</w:t>
      </w:r>
    </w:p>
    <w:p w14:paraId="57E91C58">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9.2</w:t>
      </w:r>
      <w:r>
        <w:rPr>
          <w:rFonts w:hint="eastAsia" w:ascii="仿宋" w:hAnsi="仿宋" w:eastAsia="仿宋" w:cs="仿宋"/>
          <w:color w:val="auto"/>
          <w:sz w:val="28"/>
          <w:szCs w:val="28"/>
          <w:highlight w:val="none"/>
        </w:rPr>
        <w:t>投标文件未按照招标文件要求签署、盖章；</w:t>
      </w:r>
    </w:p>
    <w:p w14:paraId="4BE69398">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9.</w:t>
      </w:r>
      <w:r>
        <w:rPr>
          <w:rFonts w:hint="eastAsia" w:ascii="仿宋" w:hAnsi="仿宋" w:eastAsia="仿宋" w:cs="仿宋"/>
          <w:color w:val="auto"/>
          <w:sz w:val="28"/>
          <w:szCs w:val="28"/>
          <w:highlight w:val="none"/>
          <w:lang w:val="en-US" w:eastAsia="zh-CN"/>
        </w:rPr>
        <w:t>3</w:t>
      </w:r>
      <w:r>
        <w:rPr>
          <w:rFonts w:hint="eastAsia" w:ascii="仿宋" w:hAnsi="仿宋" w:eastAsia="仿宋" w:cs="仿宋"/>
          <w:color w:val="auto"/>
          <w:sz w:val="28"/>
          <w:szCs w:val="28"/>
          <w:highlight w:val="none"/>
        </w:rPr>
        <w:t>不符合招标文件中规定的资格要求；</w:t>
      </w:r>
    </w:p>
    <w:p w14:paraId="0EEDEC2D">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9.</w:t>
      </w: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rPr>
        <w:t>投标报价超过招标文件中规定的预算金额或最高限价；</w:t>
      </w:r>
    </w:p>
    <w:p w14:paraId="00956911">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9.</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投标文件含有采购人不能接受的附加条件；</w:t>
      </w:r>
    </w:p>
    <w:p w14:paraId="498CCF1B">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9.</w:t>
      </w:r>
      <w:r>
        <w:rPr>
          <w:rFonts w:hint="eastAsia" w:ascii="仿宋" w:hAnsi="仿宋" w:eastAsia="仿宋" w:cs="仿宋"/>
          <w:color w:val="auto"/>
          <w:sz w:val="28"/>
          <w:szCs w:val="28"/>
          <w:highlight w:val="none"/>
          <w:lang w:val="en-US" w:eastAsia="zh-CN"/>
        </w:rPr>
        <w:t>6</w:t>
      </w:r>
      <w:r>
        <w:rPr>
          <w:rFonts w:hint="eastAsia" w:ascii="仿宋" w:hAnsi="仿宋" w:eastAsia="仿宋" w:cs="仿宋"/>
          <w:color w:val="auto"/>
          <w:sz w:val="28"/>
          <w:szCs w:val="28"/>
          <w:highlight w:val="none"/>
        </w:rPr>
        <w:t>有关法律、法规和规章及招标文件规定的其他无效情形。</w:t>
      </w:r>
    </w:p>
    <w:p w14:paraId="2FB09EFA">
      <w:pPr>
        <w:pStyle w:val="16"/>
        <w:spacing w:line="360" w:lineRule="auto"/>
        <w:outlineLvl w:val="1"/>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六、开标、评标和定标</w:t>
      </w:r>
    </w:p>
    <w:p w14:paraId="79C6C71B">
      <w:pPr>
        <w:pStyle w:val="16"/>
        <w:spacing w:line="360" w:lineRule="auto"/>
        <w:outlineLvl w:val="2"/>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1.开标</w:t>
      </w:r>
    </w:p>
    <w:p w14:paraId="6BFD8224">
      <w:pPr>
        <w:pStyle w:val="16"/>
        <w:spacing w:line="360" w:lineRule="auto"/>
        <w:ind w:firstLine="480"/>
        <w:outlineLvl w:val="3"/>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1.1 开标程序</w:t>
      </w:r>
    </w:p>
    <w:p w14:paraId="3AF84BA4">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1.1</w:t>
      </w:r>
      <w:r>
        <w:rPr>
          <w:rFonts w:hint="eastAsia" w:ascii="仿宋" w:hAnsi="仿宋" w:eastAsia="仿宋" w:cs="仿宋"/>
          <w:color w:val="auto"/>
          <w:sz w:val="28"/>
          <w:szCs w:val="28"/>
          <w:highlight w:val="none"/>
        </w:rPr>
        <w:t>.1.采购代理机构按照本招标文件所规定的时间和地点组织开启投标文件，并邀请所有投标人代表参加。</w:t>
      </w:r>
    </w:p>
    <w:p w14:paraId="1707BD2E">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1.1</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2</w:t>
      </w:r>
      <w:r>
        <w:rPr>
          <w:rFonts w:hint="eastAsia" w:ascii="仿宋" w:hAnsi="仿宋" w:eastAsia="仿宋" w:cs="仿宋"/>
          <w:color w:val="auto"/>
          <w:sz w:val="28"/>
          <w:szCs w:val="28"/>
          <w:highlight w:val="none"/>
        </w:rPr>
        <w:t>.按招标文件规定提交撤回通知的投标文件不予开封，并退回给投标人。</w:t>
      </w:r>
    </w:p>
    <w:p w14:paraId="7BCEA0FC">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1.1</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3</w:t>
      </w:r>
      <w:r>
        <w:rPr>
          <w:rFonts w:hint="eastAsia" w:ascii="仿宋" w:hAnsi="仿宋" w:eastAsia="仿宋" w:cs="仿宋"/>
          <w:color w:val="auto"/>
          <w:sz w:val="28"/>
          <w:szCs w:val="28"/>
          <w:highlight w:val="none"/>
        </w:rPr>
        <w:t>.投标文件开启由采购代理机构主持，投标人的法定代表人或其授权代表携带有效身份证明准时参加并签名报到。</w:t>
      </w:r>
    </w:p>
    <w:p w14:paraId="1C187FCA">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1.1</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rPr>
        <w:t>.开启时，由投标人或者其推选的代表检查投标文件的密封情况；经确认无误后，由采购人或者采购代理机构工作人员当众拆封，宣布投标人名称和招标文件规定的需要宣布的其他内容。</w:t>
      </w:r>
    </w:p>
    <w:p w14:paraId="6D92825B">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1.1</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投标人代表对开启过程和开启记录有异议，以及认为采购人、采购代理机构相关工作人员有需要回避的情形的，应当场提出询问或者回避申请。开启现场未提出异议的视为认同开启结果。开启结束后，投标人对开启过程和开启记录不得再提出异议。</w:t>
      </w:r>
    </w:p>
    <w:p w14:paraId="2BDA097E">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1.1</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6</w:t>
      </w:r>
      <w:r>
        <w:rPr>
          <w:rFonts w:hint="eastAsia" w:ascii="仿宋" w:hAnsi="仿宋" w:eastAsia="仿宋" w:cs="仿宋"/>
          <w:color w:val="auto"/>
          <w:sz w:val="28"/>
          <w:szCs w:val="28"/>
          <w:highlight w:val="none"/>
        </w:rPr>
        <w:t>.合格投标人不足3家的，不得开启。</w:t>
      </w:r>
    </w:p>
    <w:p w14:paraId="55CA6F2D">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1.1</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7.</w:t>
      </w:r>
      <w:r>
        <w:rPr>
          <w:rFonts w:hint="eastAsia" w:ascii="仿宋" w:hAnsi="仿宋" w:eastAsia="仿宋" w:cs="仿宋"/>
          <w:color w:val="auto"/>
          <w:sz w:val="28"/>
          <w:szCs w:val="28"/>
          <w:highlight w:val="none"/>
        </w:rPr>
        <w:t>投标人未参加开启的，视同认可开启结果。</w:t>
      </w:r>
    </w:p>
    <w:p w14:paraId="1EB69E57">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1.1</w:t>
      </w:r>
      <w:r>
        <w:rPr>
          <w:rFonts w:hint="eastAsia" w:ascii="仿宋" w:hAnsi="仿宋" w:eastAsia="仿宋" w:cs="仿宋"/>
          <w:color w:val="auto"/>
          <w:sz w:val="28"/>
          <w:szCs w:val="28"/>
          <w:highlight w:val="none"/>
        </w:rPr>
        <w:t>.8.开启过程应当由采购人或者采购代理机构负责记录，由参加开启的各投标人代表和相关工作人员签字确认。</w:t>
      </w:r>
    </w:p>
    <w:p w14:paraId="00545B24">
      <w:pPr>
        <w:pStyle w:val="16"/>
        <w:spacing w:line="360" w:lineRule="auto"/>
        <w:ind w:firstLine="480"/>
        <w:outlineLvl w:val="3"/>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1.2开标异议</w:t>
      </w:r>
    </w:p>
    <w:p w14:paraId="7B27BAE0">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投标人代表对开标过程和开标记录有疑义，以及认为采购人、采购代理机构相关工作人员有需要回避的情形的，应当场提出询问或者回避申请。投标人未参加开标的，视同认可开标结果。</w:t>
      </w:r>
    </w:p>
    <w:p w14:paraId="62A4CE31">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1.3投标截止时间后，投标人不足须知前附表中约定的有效供应商家数的，不得开标。同时，本次采购活动结束。</w:t>
      </w:r>
    </w:p>
    <w:p w14:paraId="107C8E2B">
      <w:pPr>
        <w:pStyle w:val="16"/>
        <w:spacing w:line="360" w:lineRule="auto"/>
        <w:outlineLvl w:val="2"/>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2.评审（详见第四章）</w:t>
      </w:r>
    </w:p>
    <w:p w14:paraId="1467CE00">
      <w:pPr>
        <w:pStyle w:val="16"/>
        <w:spacing w:line="360" w:lineRule="auto"/>
        <w:outlineLvl w:val="2"/>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3.定标</w:t>
      </w:r>
    </w:p>
    <w:p w14:paraId="23235E69">
      <w:pPr>
        <w:pStyle w:val="16"/>
        <w:spacing w:line="360" w:lineRule="auto"/>
        <w:ind w:firstLine="480"/>
        <w:outlineLvl w:val="3"/>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3.1中标公告：</w:t>
      </w:r>
    </w:p>
    <w:p w14:paraId="15F0D4A8">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中标</w:t>
      </w:r>
      <w:r>
        <w:rPr>
          <w:rFonts w:hint="eastAsia" w:ascii="仿宋" w:hAnsi="仿宋" w:eastAsia="仿宋" w:cs="仿宋"/>
          <w:color w:val="auto"/>
          <w:sz w:val="28"/>
          <w:szCs w:val="28"/>
          <w:highlight w:val="none"/>
          <w:lang w:eastAsia="zh-CN"/>
        </w:rPr>
        <w:t>人</w:t>
      </w:r>
      <w:r>
        <w:rPr>
          <w:rFonts w:hint="eastAsia" w:ascii="仿宋" w:hAnsi="仿宋" w:eastAsia="仿宋" w:cs="仿宋"/>
          <w:color w:val="auto"/>
          <w:sz w:val="28"/>
          <w:szCs w:val="28"/>
          <w:highlight w:val="none"/>
        </w:rPr>
        <w:t>确定之日起2个工作日内，采购人或采购代理机构将在</w:t>
      </w:r>
      <w:r>
        <w:rPr>
          <w:rFonts w:hint="eastAsia" w:ascii="仿宋" w:hAnsi="仿宋" w:eastAsia="仿宋" w:cs="仿宋"/>
          <w:color w:val="auto"/>
          <w:sz w:val="28"/>
          <w:szCs w:val="28"/>
          <w:highlight w:val="none"/>
          <w:lang w:val="en-US" w:eastAsia="zh-CN"/>
        </w:rPr>
        <w:t>招标文件中约定的发布公告的媒介上</w:t>
      </w:r>
      <w:r>
        <w:rPr>
          <w:rFonts w:hint="eastAsia" w:ascii="仿宋" w:hAnsi="仿宋" w:eastAsia="仿宋" w:cs="仿宋"/>
          <w:color w:val="auto"/>
          <w:sz w:val="28"/>
          <w:szCs w:val="28"/>
          <w:highlight w:val="none"/>
        </w:rPr>
        <w:t>以公告的形式发布中标结果，中标公告的公告期限为1个工作日。中标公告同时作为采购代理机构通知除中标</w:t>
      </w:r>
      <w:r>
        <w:rPr>
          <w:rFonts w:hint="eastAsia" w:ascii="仿宋" w:hAnsi="仿宋" w:eastAsia="仿宋" w:cs="仿宋"/>
          <w:color w:val="auto"/>
          <w:sz w:val="28"/>
          <w:szCs w:val="28"/>
          <w:highlight w:val="none"/>
          <w:lang w:eastAsia="zh-CN"/>
        </w:rPr>
        <w:t>人</w:t>
      </w:r>
      <w:r>
        <w:rPr>
          <w:rFonts w:hint="eastAsia" w:ascii="仿宋" w:hAnsi="仿宋" w:eastAsia="仿宋" w:cs="仿宋"/>
          <w:color w:val="auto"/>
          <w:sz w:val="28"/>
          <w:szCs w:val="28"/>
          <w:highlight w:val="none"/>
        </w:rPr>
        <w:t>外的其他投标人没有中标的书面形式，采购代理机构不再以其它方式另行通知。</w:t>
      </w:r>
    </w:p>
    <w:p w14:paraId="6E375FA3">
      <w:pPr>
        <w:pStyle w:val="16"/>
        <w:spacing w:line="360" w:lineRule="auto"/>
        <w:ind w:firstLine="480"/>
        <w:outlineLvl w:val="3"/>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w:t>
      </w:r>
      <w:r>
        <w:rPr>
          <w:rFonts w:hint="eastAsia" w:ascii="仿宋" w:hAnsi="仿宋" w:eastAsia="仿宋" w:cs="仿宋"/>
          <w:color w:val="auto"/>
          <w:sz w:val="28"/>
          <w:szCs w:val="28"/>
          <w:highlight w:val="none"/>
          <w:lang w:val="en-US" w:eastAsia="zh-CN"/>
        </w:rPr>
        <w:t>2</w:t>
      </w:r>
      <w:r>
        <w:rPr>
          <w:rFonts w:hint="eastAsia" w:ascii="仿宋" w:hAnsi="仿宋" w:eastAsia="仿宋" w:cs="仿宋"/>
          <w:color w:val="auto"/>
          <w:sz w:val="28"/>
          <w:szCs w:val="28"/>
          <w:highlight w:val="none"/>
        </w:rPr>
        <w:t>终止公告：</w:t>
      </w:r>
    </w:p>
    <w:p w14:paraId="2BA44B67">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项目废标后，采购人或采购代理机构将在</w:t>
      </w:r>
      <w:r>
        <w:rPr>
          <w:rFonts w:hint="eastAsia" w:ascii="仿宋" w:hAnsi="仿宋" w:eastAsia="仿宋" w:cs="仿宋"/>
          <w:color w:val="auto"/>
          <w:sz w:val="28"/>
          <w:szCs w:val="28"/>
          <w:highlight w:val="none"/>
          <w:lang w:val="en-US" w:eastAsia="zh-CN"/>
        </w:rPr>
        <w:t>招标文件中约定的发布公告的媒介上</w:t>
      </w:r>
      <w:r>
        <w:rPr>
          <w:rFonts w:hint="eastAsia" w:ascii="仿宋" w:hAnsi="仿宋" w:eastAsia="仿宋" w:cs="仿宋"/>
          <w:color w:val="auto"/>
          <w:sz w:val="28"/>
          <w:szCs w:val="28"/>
          <w:highlight w:val="none"/>
        </w:rPr>
        <w:t>发布终止公告，终止公告的公告期限为1个工作日。</w:t>
      </w:r>
    </w:p>
    <w:p w14:paraId="60C7D656">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3.3在本次招标采购中，出现下列情形之一的，本项目应予废标：</w:t>
      </w:r>
    </w:p>
    <w:p w14:paraId="7EF57989">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3.3.1符合专业条件的供应商或者对招标文件作实质响应的供应商不足三家的；</w:t>
      </w:r>
    </w:p>
    <w:p w14:paraId="2BFAFC42">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3.3.2出现影响采购公正的违法、违规行为的；</w:t>
      </w:r>
    </w:p>
    <w:p w14:paraId="44B46026">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3.3.3投标人的报价均超过了采购预算，采购人不能支付的；</w:t>
      </w:r>
    </w:p>
    <w:p w14:paraId="5DE8CA4D">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3.3.4因重大变故，招标任务取消的。</w:t>
      </w:r>
    </w:p>
    <w:p w14:paraId="6B328133">
      <w:pPr>
        <w:pStyle w:val="16"/>
        <w:spacing w:line="360" w:lineRule="auto"/>
        <w:outlineLvl w:val="1"/>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七、询问、质疑与投诉</w:t>
      </w:r>
    </w:p>
    <w:p w14:paraId="085E0B42">
      <w:pPr>
        <w:pStyle w:val="16"/>
        <w:spacing w:line="360" w:lineRule="auto"/>
        <w:outlineLvl w:val="2"/>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1.询问</w:t>
      </w:r>
    </w:p>
    <w:p w14:paraId="24990A20">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投标人对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14:paraId="0B88AF40">
      <w:pPr>
        <w:pStyle w:val="16"/>
        <w:spacing w:line="360" w:lineRule="auto"/>
        <w:outlineLvl w:val="2"/>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2.质疑</w:t>
      </w:r>
    </w:p>
    <w:p w14:paraId="2D7850A1">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14:paraId="0614E962">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对招标文件提出质疑的，为获取招标文件之日或者招标文件公告期限届满之日；</w:t>
      </w:r>
    </w:p>
    <w:p w14:paraId="3AF8DEB9">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2</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对采购过程提出质疑的，为各采购程序环节结束之日；</w:t>
      </w:r>
    </w:p>
    <w:p w14:paraId="04029C48">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3</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对中标结果提出质疑的，为中标结果公告期限届满之日。</w:t>
      </w:r>
    </w:p>
    <w:p w14:paraId="3A3E9D7C">
      <w:pPr>
        <w:pStyle w:val="16"/>
        <w:spacing w:line="360" w:lineRule="auto"/>
        <w:ind w:firstLine="480"/>
        <w:outlineLvl w:val="3"/>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2.2质疑函应当包括下列主要内容：</w:t>
      </w:r>
    </w:p>
    <w:p w14:paraId="77A7CD24">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质疑供应商和相关供应商的名称、地址、邮编、联系人及联系电话等；</w:t>
      </w:r>
    </w:p>
    <w:p w14:paraId="48CA9C06">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2</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质疑项目名称及编号、具体明确的质疑事项和与质疑事项相关的请求；</w:t>
      </w:r>
    </w:p>
    <w:p w14:paraId="68C26EA5">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3</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认为采购文件、采购过程、中标和成交结果使自己的合法权益受到损害的法律依据、事实依据、相关证明材料及证据来源；</w:t>
      </w:r>
    </w:p>
    <w:p w14:paraId="294A5735">
      <w:pPr>
        <w:pStyle w:val="16"/>
        <w:spacing w:line="360" w:lineRule="auto"/>
        <w:ind w:firstLine="480"/>
        <w:outlineLvl w:val="4"/>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4</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提出质疑的日期。</w:t>
      </w:r>
    </w:p>
    <w:p w14:paraId="08F2170F">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2.3质疑函应当署名。质疑供应商为自然人的，应当由本人签字；质疑供应商为法人或者其他组织的，应当由法定代表人、主要负责人，或者其授权代表签字或者盖章，并加盖公章。</w:t>
      </w:r>
    </w:p>
    <w:p w14:paraId="21E050FC">
      <w:pPr>
        <w:pStyle w:val="16"/>
        <w:spacing w:line="360" w:lineRule="auto"/>
        <w:ind w:firstLine="918" w:firstLineChars="328"/>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2.4以联合体形式参加采购活动的，其质疑应当由联合体成员委托主体提出。</w:t>
      </w:r>
    </w:p>
    <w:p w14:paraId="4829142A">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采购监督管理部门依法处理。</w:t>
      </w:r>
    </w:p>
    <w:p w14:paraId="79ACCE47">
      <w:pPr>
        <w:pStyle w:val="16"/>
        <w:spacing w:line="360" w:lineRule="auto"/>
        <w:ind w:firstLine="480"/>
        <w:outlineLvl w:val="3"/>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2.6质疑联系方式如下：</w:t>
      </w:r>
    </w:p>
    <w:p w14:paraId="0DD9A664">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质疑联系人：张工</w:t>
      </w:r>
    </w:p>
    <w:p w14:paraId="438FB680">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电话：0769-22887817</w:t>
      </w:r>
    </w:p>
    <w:p w14:paraId="16F72FBE">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传真：/</w:t>
      </w:r>
    </w:p>
    <w:p w14:paraId="50D6FDB2">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邮箱：dgdszb2019@163.com</w:t>
      </w:r>
    </w:p>
    <w:p w14:paraId="6B4840BF">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地址：广东省东莞市东城街道罗沙路东城段1号国泰大厦1栋516室</w:t>
      </w:r>
    </w:p>
    <w:p w14:paraId="7097E780">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邮编：523000</w:t>
      </w:r>
    </w:p>
    <w:p w14:paraId="4016D2AF">
      <w:pPr>
        <w:pStyle w:val="16"/>
        <w:spacing w:line="360" w:lineRule="auto"/>
        <w:outlineLvl w:val="1"/>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八、合同签订和履行</w:t>
      </w:r>
    </w:p>
    <w:p w14:paraId="7D36F634">
      <w:pPr>
        <w:pStyle w:val="16"/>
        <w:spacing w:line="360" w:lineRule="auto"/>
        <w:outlineLvl w:val="2"/>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1.合同签订</w:t>
      </w:r>
    </w:p>
    <w:p w14:paraId="11D38B07">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1.1采购人与中标（成交）人应当在中标通知书发出之日起30日内，按照招标文件确定的合同文本以及采购标的、规格型号、采购金额、采购数量、技术和服务要求等事项签订采购合同。</w:t>
      </w:r>
    </w:p>
    <w:p w14:paraId="320D0179">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1.2.中标（成交）人如不按本文件</w:t>
      </w:r>
      <w:r>
        <w:rPr>
          <w:rFonts w:hint="eastAsia" w:ascii="仿宋" w:hAnsi="仿宋" w:eastAsia="仿宋" w:cs="仿宋"/>
          <w:color w:val="auto"/>
          <w:sz w:val="28"/>
          <w:szCs w:val="28"/>
          <w:highlight w:val="none"/>
          <w:lang w:val="en-US" w:eastAsia="zh-CN"/>
        </w:rPr>
        <w:t>前款</w:t>
      </w:r>
      <w:r>
        <w:rPr>
          <w:rFonts w:hint="eastAsia" w:ascii="仿宋" w:hAnsi="仿宋" w:eastAsia="仿宋" w:cs="仿宋"/>
          <w:color w:val="auto"/>
          <w:sz w:val="28"/>
          <w:szCs w:val="28"/>
          <w:highlight w:val="none"/>
        </w:rPr>
        <w:t>的规定与采购人订立合同，则采购人将取消该投标人的中标（成交）人资格，履约保证金不予退还，给采购人造成的损失超过履约保证金数额的，还应当对超过部分予以赔偿，同时依法承担相应法律责任。</w:t>
      </w:r>
    </w:p>
    <w:p w14:paraId="660EF143">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1.3.合同签订之日起3个工作日内，成交人须将所签订的合同副本交至东莞市德晟招标有限公司归档。</w:t>
      </w:r>
    </w:p>
    <w:p w14:paraId="30BBA21C">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w:t>
      </w:r>
      <w:r>
        <w:rPr>
          <w:rFonts w:hint="eastAsia" w:ascii="仿宋" w:hAnsi="仿宋" w:eastAsia="仿宋" w:cs="仿宋"/>
          <w:color w:val="auto"/>
          <w:sz w:val="28"/>
          <w:szCs w:val="28"/>
          <w:highlight w:val="none"/>
        </w:rPr>
        <w:t>4.采购合同履行中，采购人需追加与合同标的相同的货物、服务的，在不改变合同其他条款的前提下，可以与成交人协商签订补充合同，但所有补充合同的采购金额不得超过原合同采购金额的百分之十。</w:t>
      </w:r>
    </w:p>
    <w:p w14:paraId="265A5E86">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1.5.中标（成交）人因不可抗力或者自身原因不能履行采购合同的，采购人可以与排位在中标（成交）人之后第一位的成交候选人签订采购合同，以此类推。</w:t>
      </w:r>
    </w:p>
    <w:p w14:paraId="0996C31E">
      <w:pPr>
        <w:pStyle w:val="16"/>
        <w:spacing w:line="360" w:lineRule="auto"/>
        <w:outlineLvl w:val="2"/>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2.合同的履行</w:t>
      </w:r>
    </w:p>
    <w:p w14:paraId="552AE02A">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2.1采购合同订立后，合同各方不得擅自变更、中止或者终止合同。采购合同需要变更的，采购人应将有关合同变更内容，以书面形式报采购监督管理机关备案；因特殊情况需要中止或终止合同的，采购人应将中止或终止合同的理由以及相应措施，以书面形式报采购监督管理机关备案。</w:t>
      </w:r>
    </w:p>
    <w:p w14:paraId="1B1A26B4">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2.2采购合同履行中，采购人需追加与合同标的相同的货物、工程或者服务的，在不改变合同其他条款的前提下，可以与中标</w:t>
      </w:r>
      <w:r>
        <w:rPr>
          <w:rFonts w:hint="eastAsia" w:ascii="仿宋" w:hAnsi="仿宋" w:eastAsia="仿宋" w:cs="仿宋"/>
          <w:color w:val="auto"/>
          <w:sz w:val="28"/>
          <w:szCs w:val="28"/>
          <w:highlight w:val="none"/>
          <w:lang w:eastAsia="zh-CN"/>
        </w:rPr>
        <w:t>人</w:t>
      </w:r>
      <w:r>
        <w:rPr>
          <w:rFonts w:hint="eastAsia" w:ascii="仿宋" w:hAnsi="仿宋" w:eastAsia="仿宋" w:cs="仿宋"/>
          <w:color w:val="auto"/>
          <w:sz w:val="28"/>
          <w:szCs w:val="28"/>
          <w:highlight w:val="none"/>
        </w:rPr>
        <w:t>签订补充合同，但所补充合同的采购金额不得超过原采购金额的10%。依法签订的补充合同。</w:t>
      </w:r>
      <w:r>
        <w:rPr>
          <w:rFonts w:hint="eastAsia" w:ascii="仿宋" w:hAnsi="仿宋" w:eastAsia="仿宋" w:cs="仿宋"/>
          <w:color w:val="auto"/>
          <w:sz w:val="28"/>
          <w:szCs w:val="28"/>
          <w:highlight w:val="none"/>
        </w:rPr>
        <w:br w:type="page"/>
      </w:r>
    </w:p>
    <w:p w14:paraId="192A0F1D">
      <w:pPr>
        <w:pStyle w:val="2"/>
        <w:bidi w:val="0"/>
        <w:jc w:val="center"/>
        <w:outlineLvl w:val="0"/>
        <w:rPr>
          <w:rFonts w:hint="eastAsia" w:ascii="仿宋" w:hAnsi="仿宋" w:eastAsia="仿宋" w:cs="仿宋"/>
          <w:color w:val="auto"/>
          <w:sz w:val="28"/>
          <w:szCs w:val="28"/>
          <w:highlight w:val="none"/>
        </w:rPr>
      </w:pPr>
      <w:bookmarkStart w:id="10" w:name="_Toc5123"/>
      <w:r>
        <w:rPr>
          <w:rFonts w:hint="eastAsia" w:ascii="仿宋" w:hAnsi="仿宋" w:eastAsia="仿宋" w:cs="仿宋"/>
          <w:color w:val="auto"/>
          <w:sz w:val="28"/>
          <w:szCs w:val="28"/>
          <w:highlight w:val="none"/>
        </w:rPr>
        <w:t>第四章 评标</w:t>
      </w:r>
      <w:bookmarkEnd w:id="10"/>
    </w:p>
    <w:p w14:paraId="309B91C8">
      <w:pPr>
        <w:pStyle w:val="16"/>
        <w:spacing w:line="360" w:lineRule="auto"/>
        <w:outlineLvl w:val="1"/>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一、评标要求</w:t>
      </w:r>
    </w:p>
    <w:p w14:paraId="3D6DE04F">
      <w:pPr>
        <w:pStyle w:val="16"/>
        <w:spacing w:line="360" w:lineRule="auto"/>
        <w:outlineLvl w:val="2"/>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1.评标方法</w:t>
      </w:r>
    </w:p>
    <w:p w14:paraId="1CDDA5F7">
      <w:pPr>
        <w:pStyle w:val="16"/>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采购包1</w:t>
      </w:r>
      <w:r>
        <w:rPr>
          <w:rFonts w:hint="eastAsia" w:ascii="仿宋" w:hAnsi="仿宋" w:eastAsia="仿宋" w:cs="仿宋"/>
          <w:color w:val="auto"/>
          <w:sz w:val="28"/>
          <w:szCs w:val="28"/>
          <w:highlight w:val="none"/>
          <w:lang w:eastAsia="zh-CN"/>
        </w:rPr>
        <w:t>（蔬菜、鲜肉及水产类食材配送服务）</w:t>
      </w:r>
      <w:r>
        <w:rPr>
          <w:rFonts w:hint="eastAsia" w:ascii="仿宋" w:hAnsi="仿宋" w:eastAsia="仿宋" w:cs="仿宋"/>
          <w:color w:val="auto"/>
          <w:sz w:val="28"/>
          <w:szCs w:val="28"/>
          <w:highlight w:val="none"/>
        </w:rPr>
        <w:t>：综合评分法</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是指投标文件满足招标文件全部实质性要求，且按照评审因素的量化指标评审得分最高的投标人为中标候选人的评标方法。（最低报价不是中标的唯一依据。）</w:t>
      </w:r>
    </w:p>
    <w:p w14:paraId="18F22D90">
      <w:pPr>
        <w:pStyle w:val="16"/>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采购包</w:t>
      </w:r>
      <w:r>
        <w:rPr>
          <w:rFonts w:hint="eastAsia" w:ascii="仿宋" w:hAnsi="仿宋" w:eastAsia="仿宋" w:cs="仿宋"/>
          <w:color w:val="auto"/>
          <w:sz w:val="28"/>
          <w:szCs w:val="28"/>
          <w:highlight w:val="none"/>
          <w:lang w:val="en-US" w:eastAsia="zh-CN"/>
        </w:rPr>
        <w:t>2</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干货调料、包点、蛋品及冰鲜类食材配送服务</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：综合评分法</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是指投标文件满足招标文件全部实质性要求，且按照评审因素的量化指标评审得分最高的投标人为中标候选人的评标方法。（最低报价不是中标的唯一依据。）</w:t>
      </w:r>
    </w:p>
    <w:p w14:paraId="265A76A6">
      <w:pPr>
        <w:pStyle w:val="16"/>
        <w:spacing w:line="360" w:lineRule="auto"/>
        <w:outlineLvl w:val="2"/>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2.评标原则</w:t>
      </w:r>
    </w:p>
    <w:p w14:paraId="1228261A">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2.1评标活动遵循公平、公正、科学和择优的原则，以招标文件和投标文件为评标的基本依据，并按照招标文件规定的评标方法和评标标准进行评标。</w:t>
      </w:r>
    </w:p>
    <w:p w14:paraId="2C96C33A">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2.2具体评标事项由评标委员会负责，并按招标文件的规定办法进行评审。</w:t>
      </w:r>
    </w:p>
    <w:p w14:paraId="3318F5A6">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2.3合格投标人不足须知前附表中约定的有效供应商家数的，不得评标。</w:t>
      </w:r>
    </w:p>
    <w:p w14:paraId="660DB54D">
      <w:pPr>
        <w:pStyle w:val="16"/>
        <w:spacing w:line="360" w:lineRule="auto"/>
        <w:outlineLvl w:val="2"/>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3.评标委员会</w:t>
      </w:r>
    </w:p>
    <w:p w14:paraId="774E4BAD">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3.1评标委员会由采购人代表和评审专家组成，成员人数应当为</w:t>
      </w:r>
      <w:r>
        <w:rPr>
          <w:rFonts w:hint="eastAsia" w:ascii="仿宋" w:hAnsi="仿宋" w:eastAsia="仿宋" w:cs="仿宋"/>
          <w:color w:val="auto"/>
          <w:sz w:val="28"/>
          <w:szCs w:val="28"/>
          <w:highlight w:val="none"/>
          <w:lang w:val="en-US" w:eastAsia="zh-CN"/>
        </w:rPr>
        <w:t>7</w:t>
      </w:r>
      <w:r>
        <w:rPr>
          <w:rFonts w:hint="eastAsia" w:ascii="仿宋" w:hAnsi="仿宋" w:eastAsia="仿宋" w:cs="仿宋"/>
          <w:color w:val="auto"/>
          <w:sz w:val="28"/>
          <w:szCs w:val="28"/>
          <w:highlight w:val="none"/>
        </w:rPr>
        <w:t>人及以上单数，其中评审专家不得少于成员总数的三分之二。</w:t>
      </w:r>
    </w:p>
    <w:p w14:paraId="7F0A9DF8">
      <w:pPr>
        <w:pStyle w:val="16"/>
        <w:spacing w:line="360" w:lineRule="auto"/>
        <w:ind w:firstLine="480"/>
        <w:outlineLvl w:val="3"/>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3.2评标应遵守下列评标纪律：</w:t>
      </w:r>
    </w:p>
    <w:p w14:paraId="26492ADC">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（1）评标情况不得私自外泄，有关信息由东莞市德晟招标有限公司统一对外发布。</w:t>
      </w:r>
    </w:p>
    <w:p w14:paraId="694BCF24">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（2）对东莞市德晟招标有限公司或投标人提供的要求保密的资料，不得摘记翻印和外传。</w:t>
      </w:r>
    </w:p>
    <w:p w14:paraId="4703E47A">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（3）不得收受投标供应商或有关人员的任何礼物，不得串联鼓动其他人袒护某投标人。若与投标人存在利害关系，则应主动声明并回避。</w:t>
      </w:r>
    </w:p>
    <w:p w14:paraId="5F720BA3">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（4）全体评委应按照招标文件规定进行评标，一切认定事项应查有实据且不得弄虚作假。</w:t>
      </w:r>
    </w:p>
    <w:p w14:paraId="23CEF66D">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（5）评标委员会各成员应当独立对每个投标人的投标文件进行评价，并对评价意见承担个人责任。评审过程中，不得发表倾向性言论。</w:t>
      </w:r>
    </w:p>
    <w:p w14:paraId="77108A14">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※对违反评标纪律的评委，将取消其评委资格，对评标工作造成严重损失者将予以通报批评乃至追究法律责任。</w:t>
      </w:r>
    </w:p>
    <w:p w14:paraId="1A2D5E6A">
      <w:pPr>
        <w:pStyle w:val="16"/>
        <w:spacing w:line="360" w:lineRule="auto"/>
        <w:outlineLvl w:val="2"/>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4.有下列情形之一的，视为投标人串通投标，其投标无效；</w:t>
      </w:r>
    </w:p>
    <w:p w14:paraId="54553298">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4.1不同投标人的投标文件由同一单位或者个人编制；</w:t>
      </w:r>
    </w:p>
    <w:p w14:paraId="5EA7C44A">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4.2不同投标人委托同一单位或者个人办理投标事宜；</w:t>
      </w:r>
    </w:p>
    <w:p w14:paraId="1242443C">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4.3不同投标人的投标文件载明的项目管理成员或者联系人员为同一人；</w:t>
      </w:r>
    </w:p>
    <w:p w14:paraId="449B394E">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4.4不同投标人的投标文件异常一致或者投标报价呈规律性差异；</w:t>
      </w:r>
    </w:p>
    <w:p w14:paraId="50946610">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4.5不同投标人的投标文件相互混装；</w:t>
      </w:r>
    </w:p>
    <w:p w14:paraId="63D8D7C2">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4.6不同投标人的投标保证金或购买电子保函支付款为从同一单位或个人的账户转出；</w:t>
      </w:r>
    </w:p>
    <w:p w14:paraId="22BDCA1F">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说明：在评标过程中发现投标人有上述情形的，评标委员会应当认定其投标无效。同时，项目评审时被认定为串通投标的投标人不得参加该合同项下的采购活动。</w:t>
      </w:r>
    </w:p>
    <w:p w14:paraId="60352F2E">
      <w:pPr>
        <w:pStyle w:val="16"/>
        <w:spacing w:line="360" w:lineRule="auto"/>
        <w:outlineLvl w:val="2"/>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5.投标无效的情形</w:t>
      </w:r>
    </w:p>
    <w:p w14:paraId="67E96CFB">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详见资格性审查、符合性审查和招标文件其他投标无效条款。</w:t>
      </w:r>
    </w:p>
    <w:p w14:paraId="1832DDD6">
      <w:pPr>
        <w:pStyle w:val="16"/>
        <w:keepNext w:val="0"/>
        <w:keepLines w:val="0"/>
        <w:pageBreakBefore w:val="0"/>
        <w:widowControl/>
        <w:numPr>
          <w:ilvl w:val="0"/>
          <w:numId w:val="2"/>
        </w:numPr>
        <w:kinsoku/>
        <w:wordWrap/>
        <w:overflowPunct/>
        <w:topLinePunct w:val="0"/>
        <w:autoSpaceDE/>
        <w:autoSpaceDN/>
        <w:bidi w:val="0"/>
        <w:adjustRightInd/>
        <w:snapToGrid/>
        <w:spacing w:line="360" w:lineRule="auto"/>
        <w:textAlignment w:val="auto"/>
        <w:outlineLvl w:val="2"/>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定标</w:t>
      </w:r>
    </w:p>
    <w:p w14:paraId="50082F28">
      <w:pPr>
        <w:pStyle w:val="16"/>
        <w:keepNext w:val="0"/>
        <w:keepLines w:val="0"/>
        <w:pageBreakBefore w:val="0"/>
        <w:widowControl/>
        <w:numPr>
          <w:ilvl w:val="0"/>
          <w:numId w:val="0"/>
        </w:numPr>
        <w:kinsoku/>
        <w:wordWrap/>
        <w:overflowPunct/>
        <w:topLinePunct w:val="0"/>
        <w:autoSpaceDE/>
        <w:autoSpaceDN/>
        <w:bidi w:val="0"/>
        <w:adjustRightInd/>
        <w:snapToGrid/>
        <w:spacing w:line="360" w:lineRule="auto"/>
        <w:ind w:firstLine="560" w:firstLineChars="200"/>
        <w:textAlignment w:val="auto"/>
        <w:outlineLvl w:val="2"/>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评标委员会按照招标文件确定的评标方法、步骤、标准，对投标文件进行评审。评标结束后，对投标人的评审名次进行排序，确定中标</w:t>
      </w:r>
      <w:r>
        <w:rPr>
          <w:rFonts w:hint="eastAsia" w:ascii="仿宋" w:hAnsi="仿宋" w:eastAsia="仿宋" w:cs="仿宋"/>
          <w:color w:val="auto"/>
          <w:sz w:val="28"/>
          <w:szCs w:val="28"/>
          <w:highlight w:val="none"/>
          <w:lang w:eastAsia="zh-CN"/>
        </w:rPr>
        <w:t>人</w:t>
      </w:r>
      <w:r>
        <w:rPr>
          <w:rFonts w:hint="eastAsia" w:ascii="仿宋" w:hAnsi="仿宋" w:eastAsia="仿宋" w:cs="仿宋"/>
          <w:color w:val="auto"/>
          <w:sz w:val="28"/>
          <w:szCs w:val="28"/>
          <w:highlight w:val="none"/>
        </w:rPr>
        <w:t>或者推荐中标候选人。</w:t>
      </w:r>
    </w:p>
    <w:p w14:paraId="0DC0CF96">
      <w:pPr>
        <w:pStyle w:val="16"/>
        <w:spacing w:line="360" w:lineRule="auto"/>
        <w:outlineLvl w:val="2"/>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7.价格修正</w:t>
      </w:r>
    </w:p>
    <w:p w14:paraId="0B1B120F">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对报价的计算错误按以下原则修正：</w:t>
      </w:r>
    </w:p>
    <w:p w14:paraId="051DB992">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（1）投标文件中开标一览表内容与投标文件中相应内容不一致的，以开标一览表为准；</w:t>
      </w:r>
    </w:p>
    <w:p w14:paraId="75E94F67">
      <w:pPr>
        <w:pStyle w:val="16"/>
        <w:spacing w:line="360" w:lineRule="auto"/>
        <w:ind w:firstLine="480"/>
        <w:outlineLvl w:val="3"/>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（2）大写金额和小写金额不一致的，以大写金额为准；</w:t>
      </w:r>
    </w:p>
    <w:p w14:paraId="67819297">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（3）单价金额小数点或者百分比有明显错位的，以开标一览表的总价为准，并修改单价。</w:t>
      </w:r>
    </w:p>
    <w:p w14:paraId="0B9F6958">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（4）总价金额与按单价汇总金额不一致的，以单价金额计算结果为准。但是单价金额计算结果超过预算价的，对其按无效投标处理。</w:t>
      </w:r>
    </w:p>
    <w:p w14:paraId="49EB1E34">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注：同时出现两种以上不一致的，按照前款规定的顺序在进行价格澄清。澄清后的价格加盖</w:t>
      </w:r>
      <w:r>
        <w:rPr>
          <w:rFonts w:hint="eastAsia" w:ascii="仿宋" w:hAnsi="仿宋" w:eastAsia="仿宋" w:cs="仿宋"/>
          <w:color w:val="auto"/>
          <w:sz w:val="28"/>
          <w:szCs w:val="28"/>
          <w:highlight w:val="none"/>
          <w:lang w:val="en-US" w:eastAsia="zh-CN"/>
        </w:rPr>
        <w:t>公章</w:t>
      </w:r>
      <w:r>
        <w:rPr>
          <w:rFonts w:hint="eastAsia" w:ascii="仿宋" w:hAnsi="仿宋" w:eastAsia="仿宋" w:cs="仿宋"/>
          <w:color w:val="auto"/>
          <w:sz w:val="28"/>
          <w:szCs w:val="28"/>
          <w:highlight w:val="none"/>
        </w:rPr>
        <w:t>确认后产生约束力，但不得超出投标文件的范围或者改变投标文件的实质性内容，投标人不确认的，其投标无效。</w:t>
      </w:r>
    </w:p>
    <w:p w14:paraId="65B78FE8">
      <w:pPr>
        <w:pStyle w:val="16"/>
        <w:spacing w:line="360" w:lineRule="auto"/>
        <w:outlineLvl w:val="1"/>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二.政府采购政策落实</w:t>
      </w:r>
    </w:p>
    <w:p w14:paraId="57A97BF2">
      <w:pPr>
        <w:pStyle w:val="16"/>
        <w:spacing w:line="360" w:lineRule="auto"/>
        <w:outlineLvl w:val="2"/>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1.节能、环保要求</w:t>
      </w:r>
    </w:p>
    <w:p w14:paraId="17386F0A">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14:paraId="005FE9B6">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相关认证机构和获证产品信息以市场监管总局组织建立的节能产品、环境标志产品认证结果信息发布平台公布为准。</w:t>
      </w:r>
    </w:p>
    <w:p w14:paraId="373BEC21">
      <w:pPr>
        <w:pStyle w:val="16"/>
        <w:spacing w:line="360" w:lineRule="auto"/>
        <w:outlineLvl w:val="2"/>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2.对小型、微型企业、监狱企业或残疾人福利性单位给予价格扣除</w:t>
      </w:r>
    </w:p>
    <w:p w14:paraId="13AC4F53">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14:paraId="194AF1DC">
      <w:pPr>
        <w:pStyle w:val="16"/>
        <w:spacing w:line="360" w:lineRule="auto"/>
        <w:outlineLvl w:val="2"/>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3.价格扣除相关要求</w:t>
      </w:r>
    </w:p>
    <w:p w14:paraId="2E66282A">
      <w:pPr>
        <w:pStyle w:val="16"/>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采购包1（</w:t>
      </w:r>
      <w:r>
        <w:rPr>
          <w:rFonts w:hint="eastAsia" w:ascii="仿宋" w:hAnsi="仿宋" w:eastAsia="仿宋" w:cs="仿宋"/>
          <w:color w:val="auto"/>
          <w:sz w:val="28"/>
          <w:szCs w:val="28"/>
          <w:highlight w:val="none"/>
          <w:lang w:eastAsia="zh-CN"/>
        </w:rPr>
        <w:t>蔬菜、鲜肉及水产类食材配送服务</w:t>
      </w:r>
      <w:r>
        <w:rPr>
          <w:rFonts w:hint="eastAsia" w:ascii="仿宋" w:hAnsi="仿宋" w:eastAsia="仿宋" w:cs="仿宋"/>
          <w:color w:val="auto"/>
          <w:sz w:val="28"/>
          <w:szCs w:val="28"/>
          <w:highlight w:val="none"/>
        </w:rPr>
        <w:t>）：</w:t>
      </w:r>
    </w:p>
    <w:tbl>
      <w:tblPr>
        <w:tblStyle w:val="12"/>
        <w:tblW w:w="4997" w:type="pct"/>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540"/>
        <w:gridCol w:w="1420"/>
        <w:gridCol w:w="1252"/>
        <w:gridCol w:w="1137"/>
        <w:gridCol w:w="4707"/>
      </w:tblGrid>
      <w:tr w14:paraId="02B73E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298" w:type="pct"/>
            <w:vAlign w:val="center"/>
          </w:tcPr>
          <w:p w14:paraId="11BDB89C">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序号</w:t>
            </w:r>
          </w:p>
        </w:tc>
        <w:tc>
          <w:tcPr>
            <w:tcW w:w="784" w:type="pct"/>
            <w:vAlign w:val="center"/>
          </w:tcPr>
          <w:p w14:paraId="76742F4C">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情形</w:t>
            </w:r>
          </w:p>
        </w:tc>
        <w:tc>
          <w:tcPr>
            <w:tcW w:w="691" w:type="pct"/>
            <w:vAlign w:val="center"/>
          </w:tcPr>
          <w:p w14:paraId="272A1A30">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适用对象</w:t>
            </w:r>
          </w:p>
        </w:tc>
        <w:tc>
          <w:tcPr>
            <w:tcW w:w="628" w:type="pct"/>
            <w:vAlign w:val="center"/>
          </w:tcPr>
          <w:p w14:paraId="1ECD8818">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价格扣除比例</w:t>
            </w:r>
          </w:p>
        </w:tc>
        <w:tc>
          <w:tcPr>
            <w:tcW w:w="2597" w:type="pct"/>
            <w:vAlign w:val="center"/>
          </w:tcPr>
          <w:p w14:paraId="179E7BFA">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计算公式</w:t>
            </w:r>
          </w:p>
        </w:tc>
      </w:tr>
      <w:tr w14:paraId="5AC674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298" w:type="pct"/>
            <w:vAlign w:val="center"/>
          </w:tcPr>
          <w:p w14:paraId="240BFD21">
            <w:pPr>
              <w:pStyle w:val="16"/>
              <w:spacing w:line="360" w:lineRule="auto"/>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w:t>
            </w:r>
          </w:p>
        </w:tc>
        <w:tc>
          <w:tcPr>
            <w:tcW w:w="784" w:type="pct"/>
            <w:vAlign w:val="center"/>
          </w:tcPr>
          <w:p w14:paraId="30D5642C">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小型、微型企业，监狱企业，残疾人福利性单位</w:t>
            </w:r>
          </w:p>
        </w:tc>
        <w:tc>
          <w:tcPr>
            <w:tcW w:w="691" w:type="pct"/>
            <w:vAlign w:val="center"/>
          </w:tcPr>
          <w:p w14:paraId="11BFD9AA">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服务由小微企业承接</w:t>
            </w:r>
          </w:p>
        </w:tc>
        <w:tc>
          <w:tcPr>
            <w:tcW w:w="628" w:type="pct"/>
            <w:vAlign w:val="center"/>
          </w:tcPr>
          <w:p w14:paraId="51E25D9A">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10%</w:t>
            </w:r>
          </w:p>
        </w:tc>
        <w:tc>
          <w:tcPr>
            <w:tcW w:w="2597" w:type="pct"/>
            <w:vAlign w:val="center"/>
          </w:tcPr>
          <w:p w14:paraId="039E5E27">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14:paraId="7B7641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5000" w:type="pct"/>
            <w:gridSpan w:val="5"/>
          </w:tcPr>
          <w:p w14:paraId="0CF361F9">
            <w:pPr>
              <w:pStyle w:val="16"/>
              <w:spacing w:line="360" w:lineRule="auto"/>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注：（1）上述评标价仅用于计算价格分，成交金额以实际投标价为准。（2）组成联合体的大中型企业和其他自然人、法人或者其他组织、与小型、微型企业之间不得存在投资关系。</w:t>
            </w:r>
          </w:p>
        </w:tc>
      </w:tr>
    </w:tbl>
    <w:p w14:paraId="2AFBB3DD">
      <w:pPr>
        <w:pStyle w:val="16"/>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采购包</w:t>
      </w:r>
      <w:r>
        <w:rPr>
          <w:rFonts w:hint="eastAsia" w:ascii="仿宋" w:hAnsi="仿宋" w:eastAsia="仿宋" w:cs="仿宋"/>
          <w:color w:val="auto"/>
          <w:sz w:val="28"/>
          <w:szCs w:val="28"/>
          <w:highlight w:val="none"/>
          <w:lang w:val="en-US" w:eastAsia="zh-CN"/>
        </w:rPr>
        <w:t>2</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干货调料、包点、蛋品及冰鲜类食材配送服务</w:t>
      </w:r>
      <w:r>
        <w:rPr>
          <w:rFonts w:hint="eastAsia" w:ascii="仿宋" w:hAnsi="仿宋" w:eastAsia="仿宋" w:cs="仿宋"/>
          <w:color w:val="auto"/>
          <w:sz w:val="28"/>
          <w:szCs w:val="28"/>
          <w:highlight w:val="none"/>
        </w:rPr>
        <w:t>）：</w:t>
      </w:r>
    </w:p>
    <w:tbl>
      <w:tblPr>
        <w:tblStyle w:val="12"/>
        <w:tblW w:w="4997" w:type="pct"/>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541"/>
        <w:gridCol w:w="1404"/>
        <w:gridCol w:w="1268"/>
        <w:gridCol w:w="1119"/>
        <w:gridCol w:w="4724"/>
      </w:tblGrid>
      <w:tr w14:paraId="050D6E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299" w:type="pct"/>
            <w:vAlign w:val="center"/>
          </w:tcPr>
          <w:p w14:paraId="520AEB1D">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序号</w:t>
            </w:r>
          </w:p>
        </w:tc>
        <w:tc>
          <w:tcPr>
            <w:tcW w:w="775" w:type="pct"/>
            <w:vAlign w:val="center"/>
          </w:tcPr>
          <w:p w14:paraId="1783662E">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情形</w:t>
            </w:r>
          </w:p>
        </w:tc>
        <w:tc>
          <w:tcPr>
            <w:tcW w:w="700" w:type="pct"/>
            <w:vAlign w:val="center"/>
          </w:tcPr>
          <w:p w14:paraId="63362B54">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适用对象</w:t>
            </w:r>
          </w:p>
        </w:tc>
        <w:tc>
          <w:tcPr>
            <w:tcW w:w="618" w:type="pct"/>
            <w:vAlign w:val="center"/>
          </w:tcPr>
          <w:p w14:paraId="520C25CA">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价格扣除比例</w:t>
            </w:r>
          </w:p>
        </w:tc>
        <w:tc>
          <w:tcPr>
            <w:tcW w:w="2606" w:type="pct"/>
            <w:vAlign w:val="center"/>
          </w:tcPr>
          <w:p w14:paraId="334F635D">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计算公式</w:t>
            </w:r>
          </w:p>
        </w:tc>
      </w:tr>
      <w:tr w14:paraId="38CC25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299" w:type="pct"/>
            <w:vAlign w:val="center"/>
          </w:tcPr>
          <w:p w14:paraId="2E4A58CE">
            <w:pPr>
              <w:pStyle w:val="16"/>
              <w:spacing w:line="360" w:lineRule="auto"/>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w:t>
            </w:r>
          </w:p>
        </w:tc>
        <w:tc>
          <w:tcPr>
            <w:tcW w:w="775" w:type="pct"/>
            <w:vAlign w:val="center"/>
          </w:tcPr>
          <w:p w14:paraId="005057B9">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小型、微型企业，监狱企业，残疾人福利性单位</w:t>
            </w:r>
          </w:p>
        </w:tc>
        <w:tc>
          <w:tcPr>
            <w:tcW w:w="700" w:type="pct"/>
            <w:vAlign w:val="center"/>
          </w:tcPr>
          <w:p w14:paraId="7533CD5C">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服务由小微企业承接</w:t>
            </w:r>
          </w:p>
        </w:tc>
        <w:tc>
          <w:tcPr>
            <w:tcW w:w="618" w:type="pct"/>
            <w:vAlign w:val="center"/>
          </w:tcPr>
          <w:p w14:paraId="7134F3A5">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10%</w:t>
            </w:r>
          </w:p>
        </w:tc>
        <w:tc>
          <w:tcPr>
            <w:tcW w:w="2606" w:type="pct"/>
            <w:vAlign w:val="center"/>
          </w:tcPr>
          <w:p w14:paraId="0C3587F3">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14:paraId="6B38A2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5000" w:type="pct"/>
            <w:gridSpan w:val="5"/>
          </w:tcPr>
          <w:p w14:paraId="0585AAD5">
            <w:pPr>
              <w:pStyle w:val="16"/>
              <w:spacing w:line="360" w:lineRule="auto"/>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注：（1）上述评标价仅用于计算价格分，成交金额以实际投标价为准。（2）组成联合体的大中型企业和其他自然人、法人或者其他组织、与小型、微型企业之间不得存在投资关系。</w:t>
            </w:r>
          </w:p>
        </w:tc>
      </w:tr>
    </w:tbl>
    <w:p w14:paraId="00A076A2">
      <w:pPr>
        <w:pStyle w:val="16"/>
        <w:spacing w:line="360" w:lineRule="auto"/>
        <w:ind w:firstLine="480"/>
        <w:outlineLvl w:val="3"/>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（1）所称小型和微型企业应当符合以下条件：</w:t>
      </w:r>
    </w:p>
    <w:p w14:paraId="439BF7DD">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在中华人民共和国境内依法设立，依据国务院批准的中小企业划分标准确定的小型企业和微型企业，但与大企业的负责人为同一人，或者与大企业存在直接控股、管理关系的除外。</w:t>
      </w:r>
    </w:p>
    <w:p w14:paraId="6E081750">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符合中小企业划分标准的个体工商户，在政府采购活动中视同中小企业。</w:t>
      </w:r>
    </w:p>
    <w:p w14:paraId="7C5E8628">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提供本企业（属于小微企业）制造的货物或者提供其他小型或微型企业制造的货物/提供本企业（属于小微企业）承接的服务。</w:t>
      </w:r>
    </w:p>
    <w:p w14:paraId="5B5F3B4A">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14:paraId="1B3FEC97">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说明：投标人应当对其出具的《中小企业声明函》真实性负责，投标人出具的《中小企业声明函》内容不实的，属于提供虚假材料谋取中标。</w:t>
      </w:r>
    </w:p>
    <w:p w14:paraId="0E5D23E0">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14:paraId="407C11CA">
      <w:pPr>
        <w:pStyle w:val="16"/>
        <w:spacing w:line="360" w:lineRule="auto"/>
        <w:outlineLvl w:val="1"/>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三、评审程序</w:t>
      </w:r>
    </w:p>
    <w:p w14:paraId="224C8E3A">
      <w:pPr>
        <w:pStyle w:val="16"/>
        <w:spacing w:line="360" w:lineRule="auto"/>
        <w:outlineLvl w:val="2"/>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1.资格性审查和符合性审查</w:t>
      </w:r>
    </w:p>
    <w:p w14:paraId="04523023">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资格性审查。公开招标采购项目开标结束后，采购人或采购代理机构应当依法对投标人的资格进行审查，以确定投标人是否具备投标资格。（详见后附表一资格性审查表）</w:t>
      </w:r>
    </w:p>
    <w:p w14:paraId="700DCCEB">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符合性审查。评标委员会依据招标文件的规定，从投标文件的有效性、完整性和对招标文件的响应程度进行审查，以确定是否对招标文件的实质性要求作出响应。（详见后附表二符合性审查表）</w:t>
      </w:r>
    </w:p>
    <w:p w14:paraId="0743C5F7">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资格性审查和符合性审查中凡有其中任意一项未通过的，评审结果为未通过，未通过资格性审查、符合性审查的投标人按无效投标处理。</w:t>
      </w:r>
    </w:p>
    <w:p w14:paraId="72D99880">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对各投标人进行资格审查和符合性审查过程中，对初步被认定为无效投标者，由评标委员会组长或采购人代表将集体意见及时告知投标当事人。</w:t>
      </w:r>
    </w:p>
    <w:p w14:paraId="56666618">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3E8E0885">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合格投标人不足3家的，不得评标。</w:t>
      </w:r>
    </w:p>
    <w:p w14:paraId="0A27165A">
      <w:pPr>
        <w:pStyle w:val="16"/>
        <w:spacing w:line="360" w:lineRule="auto"/>
        <w:ind w:firstLine="48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表一资格性审查表：</w:t>
      </w:r>
    </w:p>
    <w:p w14:paraId="1E5FB2F3">
      <w:pPr>
        <w:pStyle w:val="16"/>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采购包1（</w:t>
      </w:r>
      <w:r>
        <w:rPr>
          <w:rFonts w:hint="eastAsia" w:ascii="仿宋" w:hAnsi="仿宋" w:eastAsia="仿宋" w:cs="仿宋"/>
          <w:color w:val="auto"/>
          <w:sz w:val="28"/>
          <w:szCs w:val="28"/>
          <w:highlight w:val="none"/>
          <w:lang w:eastAsia="zh-CN"/>
        </w:rPr>
        <w:t>蔬菜、鲜肉及水产类食材配送服务</w:t>
      </w:r>
      <w:r>
        <w:rPr>
          <w:rFonts w:hint="eastAsia" w:ascii="仿宋" w:hAnsi="仿宋" w:eastAsia="仿宋" w:cs="仿宋"/>
          <w:color w:val="auto"/>
          <w:sz w:val="28"/>
          <w:szCs w:val="28"/>
          <w:highlight w:val="none"/>
        </w:rPr>
        <w:t>）：</w:t>
      </w:r>
    </w:p>
    <w:tbl>
      <w:tblPr>
        <w:tblStyle w:val="12"/>
        <w:tblW w:w="0" w:type="auto"/>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578"/>
        <w:gridCol w:w="3067"/>
        <w:gridCol w:w="5064"/>
      </w:tblGrid>
      <w:tr w14:paraId="294E27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jc w:val="center"/>
        </w:trPr>
        <w:tc>
          <w:tcPr>
            <w:tcW w:w="578" w:type="dxa"/>
            <w:vAlign w:val="center"/>
          </w:tcPr>
          <w:p w14:paraId="4CF0E140">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序号</w:t>
            </w:r>
          </w:p>
        </w:tc>
        <w:tc>
          <w:tcPr>
            <w:tcW w:w="8131" w:type="dxa"/>
            <w:gridSpan w:val="2"/>
            <w:vAlign w:val="center"/>
          </w:tcPr>
          <w:p w14:paraId="5CE3EBE8">
            <w:pPr>
              <w:pStyle w:val="16"/>
              <w:spacing w:line="360" w:lineRule="auto"/>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资格审查内容</w:t>
            </w:r>
          </w:p>
        </w:tc>
      </w:tr>
      <w:tr w14:paraId="3B6462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578" w:type="dxa"/>
            <w:vAlign w:val="center"/>
          </w:tcPr>
          <w:p w14:paraId="25F8C30E">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p>
        </w:tc>
        <w:tc>
          <w:tcPr>
            <w:tcW w:w="3067" w:type="dxa"/>
            <w:vAlign w:val="center"/>
          </w:tcPr>
          <w:p w14:paraId="3050E99D">
            <w:pPr>
              <w:pStyle w:val="16"/>
              <w:spacing w:line="360" w:lineRule="auto"/>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具有独立承担民事责任的能力</w:t>
            </w:r>
          </w:p>
        </w:tc>
        <w:tc>
          <w:tcPr>
            <w:tcW w:w="5064" w:type="dxa"/>
            <w:vAlign w:val="center"/>
          </w:tcPr>
          <w:p w14:paraId="5D2A57A7">
            <w:pPr>
              <w:pStyle w:val="16"/>
              <w:spacing w:line="360" w:lineRule="auto"/>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14:paraId="221F02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578" w:type="dxa"/>
            <w:vAlign w:val="center"/>
          </w:tcPr>
          <w:p w14:paraId="46640723">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w:t>
            </w:r>
          </w:p>
        </w:tc>
        <w:tc>
          <w:tcPr>
            <w:tcW w:w="3067" w:type="dxa"/>
            <w:vAlign w:val="center"/>
          </w:tcPr>
          <w:p w14:paraId="0CF9B340">
            <w:pPr>
              <w:pStyle w:val="16"/>
              <w:spacing w:line="360" w:lineRule="auto"/>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有依法缴纳税收和社会保障资金的良好记录</w:t>
            </w:r>
          </w:p>
        </w:tc>
        <w:tc>
          <w:tcPr>
            <w:tcW w:w="5064" w:type="dxa"/>
            <w:vAlign w:val="center"/>
          </w:tcPr>
          <w:p w14:paraId="7F7CD972">
            <w:pPr>
              <w:pStyle w:val="16"/>
              <w:spacing w:line="360" w:lineRule="auto"/>
              <w:jc w:val="left"/>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提供《资格声明函》</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格式参照附件23</w:t>
            </w:r>
            <w:r>
              <w:rPr>
                <w:rFonts w:hint="eastAsia" w:ascii="仿宋" w:hAnsi="仿宋" w:eastAsia="仿宋" w:cs="仿宋"/>
                <w:color w:val="auto"/>
                <w:sz w:val="28"/>
                <w:szCs w:val="28"/>
                <w:highlight w:val="none"/>
                <w:lang w:eastAsia="zh-CN"/>
              </w:rPr>
              <w:t>。</w:t>
            </w:r>
          </w:p>
        </w:tc>
      </w:tr>
      <w:tr w14:paraId="64B270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578" w:type="dxa"/>
            <w:vAlign w:val="center"/>
          </w:tcPr>
          <w:p w14:paraId="1E347BA5">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w:t>
            </w:r>
          </w:p>
        </w:tc>
        <w:tc>
          <w:tcPr>
            <w:tcW w:w="3067" w:type="dxa"/>
            <w:vAlign w:val="center"/>
          </w:tcPr>
          <w:p w14:paraId="021FF5C5">
            <w:pPr>
              <w:pStyle w:val="16"/>
              <w:spacing w:line="360" w:lineRule="auto"/>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具有良好的商业信誉和健全的财务会计制度</w:t>
            </w:r>
          </w:p>
        </w:tc>
        <w:tc>
          <w:tcPr>
            <w:tcW w:w="5064" w:type="dxa"/>
            <w:vAlign w:val="center"/>
          </w:tcPr>
          <w:p w14:paraId="10D805A9">
            <w:pPr>
              <w:pStyle w:val="16"/>
              <w:spacing w:line="360" w:lineRule="auto"/>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提供《资格声明函》</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格式参照附件23</w:t>
            </w:r>
            <w:r>
              <w:rPr>
                <w:rFonts w:hint="eastAsia" w:ascii="仿宋" w:hAnsi="仿宋" w:eastAsia="仿宋" w:cs="仿宋"/>
                <w:color w:val="auto"/>
                <w:sz w:val="28"/>
                <w:szCs w:val="28"/>
                <w:highlight w:val="none"/>
                <w:lang w:eastAsia="zh-CN"/>
              </w:rPr>
              <w:t>。</w:t>
            </w:r>
          </w:p>
        </w:tc>
      </w:tr>
      <w:tr w14:paraId="3A94CF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578" w:type="dxa"/>
            <w:vAlign w:val="center"/>
          </w:tcPr>
          <w:p w14:paraId="56ED3A13">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w:t>
            </w:r>
          </w:p>
        </w:tc>
        <w:tc>
          <w:tcPr>
            <w:tcW w:w="3067" w:type="dxa"/>
            <w:vAlign w:val="center"/>
          </w:tcPr>
          <w:p w14:paraId="56FC10A6">
            <w:pPr>
              <w:pStyle w:val="16"/>
              <w:spacing w:line="360" w:lineRule="auto"/>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履行合同所必需的设备和专业技术能力</w:t>
            </w:r>
          </w:p>
        </w:tc>
        <w:tc>
          <w:tcPr>
            <w:tcW w:w="5064" w:type="dxa"/>
            <w:vAlign w:val="center"/>
          </w:tcPr>
          <w:p w14:paraId="544406FD">
            <w:pPr>
              <w:pStyle w:val="16"/>
              <w:spacing w:line="360" w:lineRule="auto"/>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提供《资格声明函》</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格式参照附件23</w:t>
            </w:r>
            <w:r>
              <w:rPr>
                <w:rFonts w:hint="eastAsia" w:ascii="仿宋" w:hAnsi="仿宋" w:eastAsia="仿宋" w:cs="仿宋"/>
                <w:color w:val="auto"/>
                <w:sz w:val="28"/>
                <w:szCs w:val="28"/>
                <w:highlight w:val="none"/>
                <w:lang w:eastAsia="zh-CN"/>
              </w:rPr>
              <w:t>。</w:t>
            </w:r>
          </w:p>
        </w:tc>
      </w:tr>
      <w:tr w14:paraId="6119BD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578" w:type="dxa"/>
            <w:vAlign w:val="center"/>
          </w:tcPr>
          <w:p w14:paraId="1ECE80AE">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w:t>
            </w:r>
          </w:p>
        </w:tc>
        <w:tc>
          <w:tcPr>
            <w:tcW w:w="3067" w:type="dxa"/>
            <w:vAlign w:val="center"/>
          </w:tcPr>
          <w:p w14:paraId="70B02E55">
            <w:pPr>
              <w:pStyle w:val="16"/>
              <w:spacing w:line="360" w:lineRule="auto"/>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参加采购活动前3年内，在经营活动中没有重大违法记录</w:t>
            </w:r>
          </w:p>
        </w:tc>
        <w:tc>
          <w:tcPr>
            <w:tcW w:w="5064" w:type="dxa"/>
            <w:vAlign w:val="center"/>
          </w:tcPr>
          <w:p w14:paraId="6F42710F">
            <w:pPr>
              <w:pStyle w:val="16"/>
              <w:spacing w:line="360" w:lineRule="auto"/>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提供《资格声明函》</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格式参照附件23</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14:paraId="359CEC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578" w:type="dxa"/>
            <w:vAlign w:val="center"/>
          </w:tcPr>
          <w:p w14:paraId="5C4DCDE7">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w:t>
            </w:r>
          </w:p>
        </w:tc>
        <w:tc>
          <w:tcPr>
            <w:tcW w:w="3067" w:type="dxa"/>
            <w:vAlign w:val="center"/>
          </w:tcPr>
          <w:p w14:paraId="25B3241A">
            <w:pPr>
              <w:pStyle w:val="16"/>
              <w:spacing w:line="360" w:lineRule="auto"/>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信用记录</w:t>
            </w:r>
          </w:p>
        </w:tc>
        <w:tc>
          <w:tcPr>
            <w:tcW w:w="5064" w:type="dxa"/>
            <w:vAlign w:val="center"/>
          </w:tcPr>
          <w:p w14:paraId="2C9B2939">
            <w:pPr>
              <w:pStyle w:val="16"/>
              <w:spacing w:line="360" w:lineRule="auto"/>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供应商未被列入“信用中国”网站</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www.creditchina.gov.cn</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“记录失信被执行人或重大税收违法案件当事人名单或政府采购严重违法失信行为”记录名单；不处于中国政府采购网</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www.ccgp.gov.cn</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14:paraId="3F7599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719" w:hRule="atLeast"/>
          <w:jc w:val="center"/>
        </w:trPr>
        <w:tc>
          <w:tcPr>
            <w:tcW w:w="578" w:type="dxa"/>
            <w:vAlign w:val="center"/>
          </w:tcPr>
          <w:p w14:paraId="4FCA3044">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7</w:t>
            </w:r>
          </w:p>
        </w:tc>
        <w:tc>
          <w:tcPr>
            <w:tcW w:w="3067" w:type="dxa"/>
            <w:vAlign w:val="center"/>
          </w:tcPr>
          <w:p w14:paraId="58F9B8DD">
            <w:pPr>
              <w:pStyle w:val="16"/>
              <w:spacing w:line="360" w:lineRule="auto"/>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供应商必须符合法律、行政法规规定的其他条件</w:t>
            </w:r>
          </w:p>
        </w:tc>
        <w:tc>
          <w:tcPr>
            <w:tcW w:w="5064" w:type="dxa"/>
            <w:vAlign w:val="center"/>
          </w:tcPr>
          <w:p w14:paraId="481E3620">
            <w:pPr>
              <w:pStyle w:val="16"/>
              <w:spacing w:line="360" w:lineRule="auto"/>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单位负责人为同一人或者存在直接控股、管理关系的不同供应商，不得同时参加本采购项目（或采购包）投标（响应）。为本项目提供整体设计、规范编制或者项目管理、监理、检测等服务的供应商，不得再参与本项目投标（响应）。</w:t>
            </w:r>
          </w:p>
        </w:tc>
      </w:tr>
      <w:tr w14:paraId="468260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578" w:type="dxa"/>
            <w:vAlign w:val="center"/>
          </w:tcPr>
          <w:p w14:paraId="3E1D55C6">
            <w:pPr>
              <w:pStyle w:val="16"/>
              <w:spacing w:line="360" w:lineRule="auto"/>
              <w:jc w:val="center"/>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8</w:t>
            </w:r>
          </w:p>
        </w:tc>
        <w:tc>
          <w:tcPr>
            <w:tcW w:w="3067" w:type="dxa"/>
            <w:vAlign w:val="center"/>
          </w:tcPr>
          <w:p w14:paraId="789856F3">
            <w:pPr>
              <w:pStyle w:val="16"/>
              <w:spacing w:line="360" w:lineRule="auto"/>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食品经营许可证</w:t>
            </w:r>
          </w:p>
        </w:tc>
        <w:tc>
          <w:tcPr>
            <w:tcW w:w="5064" w:type="dxa"/>
            <w:vAlign w:val="center"/>
          </w:tcPr>
          <w:p w14:paraId="5CBB4F35">
            <w:pPr>
              <w:pStyle w:val="16"/>
              <w:spacing w:line="360" w:lineRule="auto"/>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投标人具有行政主管部门颁发的有效的《食品经营许可证》或《食品生产许可证》（注：1.须提供许可证复印件并加盖投标人公章；2.国家或省、自治区、直辖市另有规定的，则适用其规定，须提供相关证明材料并加盖投标人公章）。</w:t>
            </w:r>
          </w:p>
        </w:tc>
      </w:tr>
      <w:tr w14:paraId="6CEFA2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578" w:type="dxa"/>
            <w:vAlign w:val="center"/>
          </w:tcPr>
          <w:p w14:paraId="1B7AF9B2">
            <w:pPr>
              <w:pStyle w:val="16"/>
              <w:spacing w:line="360" w:lineRule="auto"/>
              <w:jc w:val="center"/>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w:t>
            </w:r>
          </w:p>
        </w:tc>
        <w:tc>
          <w:tcPr>
            <w:tcW w:w="3067" w:type="dxa"/>
            <w:vAlign w:val="center"/>
          </w:tcPr>
          <w:p w14:paraId="61F423A7">
            <w:pPr>
              <w:pStyle w:val="16"/>
              <w:spacing w:line="360" w:lineRule="auto"/>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促进中小企业发展</w:t>
            </w:r>
          </w:p>
        </w:tc>
        <w:tc>
          <w:tcPr>
            <w:tcW w:w="5064" w:type="dxa"/>
            <w:vAlign w:val="center"/>
          </w:tcPr>
          <w:p w14:paraId="321E776D">
            <w:pPr>
              <w:pStyle w:val="16"/>
              <w:spacing w:line="360" w:lineRule="auto"/>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本采购包不专门面向中小企业采购。</w:t>
            </w:r>
          </w:p>
        </w:tc>
      </w:tr>
    </w:tbl>
    <w:p w14:paraId="506F6C0C">
      <w:pPr>
        <w:pStyle w:val="16"/>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采购包</w:t>
      </w:r>
      <w:r>
        <w:rPr>
          <w:rFonts w:hint="eastAsia" w:ascii="仿宋" w:hAnsi="仿宋" w:eastAsia="仿宋" w:cs="仿宋"/>
          <w:color w:val="auto"/>
          <w:sz w:val="28"/>
          <w:szCs w:val="28"/>
          <w:highlight w:val="none"/>
          <w:lang w:val="en-US" w:eastAsia="zh-CN"/>
        </w:rPr>
        <w:t>2</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干货调料、包点、蛋品及冰鲜类食材配送服务</w:t>
      </w:r>
      <w:r>
        <w:rPr>
          <w:rFonts w:hint="eastAsia" w:ascii="仿宋" w:hAnsi="仿宋" w:eastAsia="仿宋" w:cs="仿宋"/>
          <w:color w:val="auto"/>
          <w:sz w:val="28"/>
          <w:szCs w:val="28"/>
          <w:highlight w:val="none"/>
        </w:rPr>
        <w:t>）：</w:t>
      </w:r>
    </w:p>
    <w:tbl>
      <w:tblPr>
        <w:tblStyle w:val="12"/>
        <w:tblW w:w="0" w:type="auto"/>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578"/>
        <w:gridCol w:w="3067"/>
        <w:gridCol w:w="5064"/>
      </w:tblGrid>
      <w:tr w14:paraId="35E3B2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578" w:type="dxa"/>
            <w:vAlign w:val="center"/>
          </w:tcPr>
          <w:p w14:paraId="7D45E5F6">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序号</w:t>
            </w:r>
          </w:p>
        </w:tc>
        <w:tc>
          <w:tcPr>
            <w:tcW w:w="8131" w:type="dxa"/>
            <w:gridSpan w:val="2"/>
            <w:vAlign w:val="center"/>
          </w:tcPr>
          <w:p w14:paraId="07F10DC9">
            <w:pPr>
              <w:pStyle w:val="16"/>
              <w:spacing w:line="360" w:lineRule="auto"/>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资格审查内容</w:t>
            </w:r>
          </w:p>
        </w:tc>
      </w:tr>
      <w:tr w14:paraId="4F70C6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578" w:type="dxa"/>
            <w:vAlign w:val="center"/>
          </w:tcPr>
          <w:p w14:paraId="364F3AD1">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p>
        </w:tc>
        <w:tc>
          <w:tcPr>
            <w:tcW w:w="3067" w:type="dxa"/>
            <w:vAlign w:val="center"/>
          </w:tcPr>
          <w:p w14:paraId="0229275D">
            <w:pPr>
              <w:pStyle w:val="16"/>
              <w:spacing w:line="360" w:lineRule="auto"/>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具有独立承担民事责任的能力</w:t>
            </w:r>
          </w:p>
        </w:tc>
        <w:tc>
          <w:tcPr>
            <w:tcW w:w="5064" w:type="dxa"/>
            <w:vAlign w:val="center"/>
          </w:tcPr>
          <w:p w14:paraId="7293AFCA">
            <w:pPr>
              <w:pStyle w:val="16"/>
              <w:spacing w:line="360" w:lineRule="auto"/>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14:paraId="58437B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578" w:type="dxa"/>
            <w:vAlign w:val="center"/>
          </w:tcPr>
          <w:p w14:paraId="61546DB1">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w:t>
            </w:r>
          </w:p>
        </w:tc>
        <w:tc>
          <w:tcPr>
            <w:tcW w:w="3067" w:type="dxa"/>
            <w:vAlign w:val="center"/>
          </w:tcPr>
          <w:p w14:paraId="7FA6F3E3">
            <w:pPr>
              <w:pStyle w:val="16"/>
              <w:spacing w:line="360" w:lineRule="auto"/>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有依法缴纳税收和社会保障资金的良好记录</w:t>
            </w:r>
          </w:p>
        </w:tc>
        <w:tc>
          <w:tcPr>
            <w:tcW w:w="5064" w:type="dxa"/>
            <w:vAlign w:val="center"/>
          </w:tcPr>
          <w:p w14:paraId="611B4B8C">
            <w:pPr>
              <w:pStyle w:val="16"/>
              <w:spacing w:line="360" w:lineRule="auto"/>
              <w:jc w:val="left"/>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提供《资格声明函》</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格式参照附件23</w:t>
            </w:r>
            <w:r>
              <w:rPr>
                <w:rFonts w:hint="eastAsia" w:ascii="仿宋" w:hAnsi="仿宋" w:eastAsia="仿宋" w:cs="仿宋"/>
                <w:color w:val="auto"/>
                <w:sz w:val="28"/>
                <w:szCs w:val="28"/>
                <w:highlight w:val="none"/>
                <w:lang w:eastAsia="zh-CN"/>
              </w:rPr>
              <w:t>。</w:t>
            </w:r>
          </w:p>
        </w:tc>
      </w:tr>
      <w:tr w14:paraId="4C62ED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578" w:type="dxa"/>
            <w:vAlign w:val="center"/>
          </w:tcPr>
          <w:p w14:paraId="0A7D149C">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w:t>
            </w:r>
          </w:p>
        </w:tc>
        <w:tc>
          <w:tcPr>
            <w:tcW w:w="3067" w:type="dxa"/>
            <w:vAlign w:val="center"/>
          </w:tcPr>
          <w:p w14:paraId="6A8B9DC1">
            <w:pPr>
              <w:pStyle w:val="16"/>
              <w:spacing w:line="360" w:lineRule="auto"/>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具有良好的商业信誉和健全的财务会计制度</w:t>
            </w:r>
          </w:p>
        </w:tc>
        <w:tc>
          <w:tcPr>
            <w:tcW w:w="5064" w:type="dxa"/>
            <w:vAlign w:val="center"/>
          </w:tcPr>
          <w:p w14:paraId="1F8F0F01">
            <w:pPr>
              <w:pStyle w:val="16"/>
              <w:spacing w:line="360" w:lineRule="auto"/>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提供《资格声明函》</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格式参照附件23</w:t>
            </w:r>
            <w:r>
              <w:rPr>
                <w:rFonts w:hint="eastAsia" w:ascii="仿宋" w:hAnsi="仿宋" w:eastAsia="仿宋" w:cs="仿宋"/>
                <w:color w:val="auto"/>
                <w:sz w:val="28"/>
                <w:szCs w:val="28"/>
                <w:highlight w:val="none"/>
                <w:lang w:eastAsia="zh-CN"/>
              </w:rPr>
              <w:t>。</w:t>
            </w:r>
          </w:p>
        </w:tc>
      </w:tr>
      <w:tr w14:paraId="29A039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578" w:type="dxa"/>
            <w:vAlign w:val="center"/>
          </w:tcPr>
          <w:p w14:paraId="30616FF0">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w:t>
            </w:r>
          </w:p>
        </w:tc>
        <w:tc>
          <w:tcPr>
            <w:tcW w:w="3067" w:type="dxa"/>
            <w:vAlign w:val="center"/>
          </w:tcPr>
          <w:p w14:paraId="2773A1DA">
            <w:pPr>
              <w:pStyle w:val="16"/>
              <w:spacing w:line="360" w:lineRule="auto"/>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履行合同所必需的设备和专业技术能力</w:t>
            </w:r>
          </w:p>
        </w:tc>
        <w:tc>
          <w:tcPr>
            <w:tcW w:w="5064" w:type="dxa"/>
            <w:vAlign w:val="center"/>
          </w:tcPr>
          <w:p w14:paraId="33B7EA3B">
            <w:pPr>
              <w:pStyle w:val="16"/>
              <w:spacing w:line="360" w:lineRule="auto"/>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提供《资格声明函》</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格式参照附件23</w:t>
            </w:r>
            <w:r>
              <w:rPr>
                <w:rFonts w:hint="eastAsia" w:ascii="仿宋" w:hAnsi="仿宋" w:eastAsia="仿宋" w:cs="仿宋"/>
                <w:color w:val="auto"/>
                <w:sz w:val="28"/>
                <w:szCs w:val="28"/>
                <w:highlight w:val="none"/>
                <w:lang w:eastAsia="zh-CN"/>
              </w:rPr>
              <w:t>。</w:t>
            </w:r>
          </w:p>
        </w:tc>
      </w:tr>
      <w:tr w14:paraId="193D95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578" w:type="dxa"/>
            <w:vAlign w:val="center"/>
          </w:tcPr>
          <w:p w14:paraId="710AFE89">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w:t>
            </w:r>
          </w:p>
        </w:tc>
        <w:tc>
          <w:tcPr>
            <w:tcW w:w="3067" w:type="dxa"/>
            <w:vAlign w:val="center"/>
          </w:tcPr>
          <w:p w14:paraId="3F2760E1">
            <w:pPr>
              <w:pStyle w:val="16"/>
              <w:spacing w:line="360" w:lineRule="auto"/>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参加采购活动前3年内，在经营活动中没有重大违法记录</w:t>
            </w:r>
          </w:p>
        </w:tc>
        <w:tc>
          <w:tcPr>
            <w:tcW w:w="5064" w:type="dxa"/>
            <w:vAlign w:val="center"/>
          </w:tcPr>
          <w:p w14:paraId="651E35FD">
            <w:pPr>
              <w:pStyle w:val="16"/>
              <w:spacing w:line="360" w:lineRule="auto"/>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提供《资格声明函》</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格式参照附件23</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14:paraId="521EB9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578" w:type="dxa"/>
            <w:vAlign w:val="center"/>
          </w:tcPr>
          <w:p w14:paraId="55B0877A">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w:t>
            </w:r>
          </w:p>
        </w:tc>
        <w:tc>
          <w:tcPr>
            <w:tcW w:w="3067" w:type="dxa"/>
            <w:vAlign w:val="center"/>
          </w:tcPr>
          <w:p w14:paraId="7C3BB0C0">
            <w:pPr>
              <w:pStyle w:val="16"/>
              <w:spacing w:line="360" w:lineRule="auto"/>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信用记录</w:t>
            </w:r>
          </w:p>
        </w:tc>
        <w:tc>
          <w:tcPr>
            <w:tcW w:w="5064" w:type="dxa"/>
            <w:vAlign w:val="center"/>
          </w:tcPr>
          <w:p w14:paraId="19E876FD">
            <w:pPr>
              <w:pStyle w:val="16"/>
              <w:spacing w:line="360" w:lineRule="auto"/>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供应商未被列入“信用中国”网站</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www.creditchina.gov.cn</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“记录失信被执行人或重大税收违法案件当事人名单或政府采购严重违法失信行为”记录名单；不处于中国政府采购网</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www.ccgp.gov.cn</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14:paraId="1E276D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719" w:hRule="atLeast"/>
          <w:jc w:val="center"/>
        </w:trPr>
        <w:tc>
          <w:tcPr>
            <w:tcW w:w="578" w:type="dxa"/>
            <w:vAlign w:val="center"/>
          </w:tcPr>
          <w:p w14:paraId="1CD01F51">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7</w:t>
            </w:r>
          </w:p>
        </w:tc>
        <w:tc>
          <w:tcPr>
            <w:tcW w:w="3067" w:type="dxa"/>
            <w:vAlign w:val="center"/>
          </w:tcPr>
          <w:p w14:paraId="147B48F2">
            <w:pPr>
              <w:pStyle w:val="16"/>
              <w:spacing w:line="360" w:lineRule="auto"/>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供应商必须符合法律、行政法规规定的其他条件</w:t>
            </w:r>
          </w:p>
        </w:tc>
        <w:tc>
          <w:tcPr>
            <w:tcW w:w="5064" w:type="dxa"/>
            <w:vAlign w:val="center"/>
          </w:tcPr>
          <w:p w14:paraId="0229EFA7">
            <w:pPr>
              <w:pStyle w:val="16"/>
              <w:spacing w:line="360" w:lineRule="auto"/>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单位负责人为同一人或者存在直接控股、管理关系的不同供应商，不得同时参加本采购项目（或采购包）投标（响应）。为本项目提供整体设计、规范编制或者项目管理、监理、检测等服务的供应商，不得再参与本项目投标（响应）。</w:t>
            </w:r>
          </w:p>
        </w:tc>
      </w:tr>
      <w:tr w14:paraId="2C819B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578" w:type="dxa"/>
            <w:vAlign w:val="center"/>
          </w:tcPr>
          <w:p w14:paraId="6283192E">
            <w:pPr>
              <w:pStyle w:val="16"/>
              <w:spacing w:line="360" w:lineRule="auto"/>
              <w:jc w:val="center"/>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8</w:t>
            </w:r>
          </w:p>
        </w:tc>
        <w:tc>
          <w:tcPr>
            <w:tcW w:w="3067" w:type="dxa"/>
            <w:vAlign w:val="center"/>
          </w:tcPr>
          <w:p w14:paraId="63600124">
            <w:pPr>
              <w:pStyle w:val="16"/>
              <w:spacing w:line="360" w:lineRule="auto"/>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食品经营许可证</w:t>
            </w:r>
          </w:p>
        </w:tc>
        <w:tc>
          <w:tcPr>
            <w:tcW w:w="5064" w:type="dxa"/>
            <w:vAlign w:val="center"/>
          </w:tcPr>
          <w:p w14:paraId="1ADEE412">
            <w:pPr>
              <w:pStyle w:val="16"/>
              <w:spacing w:line="360" w:lineRule="auto"/>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投标人具有行政主管部门颁发的有效的《食品经营许可证》或《食品生产许可证》（注：1.须提供许可证复印件并加盖投标人公章；2.国家或省、自治区、直辖市另有规定的，则适用其规定，须提供相关证明材料并加盖投标人公章）。</w:t>
            </w:r>
          </w:p>
        </w:tc>
      </w:tr>
      <w:tr w14:paraId="28DFB6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578" w:type="dxa"/>
            <w:vAlign w:val="center"/>
          </w:tcPr>
          <w:p w14:paraId="30032370">
            <w:pPr>
              <w:pStyle w:val="16"/>
              <w:spacing w:line="360" w:lineRule="auto"/>
              <w:jc w:val="center"/>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w:t>
            </w:r>
          </w:p>
        </w:tc>
        <w:tc>
          <w:tcPr>
            <w:tcW w:w="3067" w:type="dxa"/>
            <w:vAlign w:val="center"/>
          </w:tcPr>
          <w:p w14:paraId="73090801">
            <w:pPr>
              <w:pStyle w:val="16"/>
              <w:spacing w:line="360" w:lineRule="auto"/>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促进中小企业发展</w:t>
            </w:r>
          </w:p>
        </w:tc>
        <w:tc>
          <w:tcPr>
            <w:tcW w:w="5064" w:type="dxa"/>
            <w:vAlign w:val="center"/>
          </w:tcPr>
          <w:p w14:paraId="633A26A8">
            <w:pPr>
              <w:pStyle w:val="16"/>
              <w:spacing w:line="360" w:lineRule="auto"/>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本采购包不专门面向中小企业采购。</w:t>
            </w:r>
          </w:p>
        </w:tc>
      </w:tr>
    </w:tbl>
    <w:p w14:paraId="6FEEBFFD">
      <w:pPr>
        <w:pStyle w:val="16"/>
        <w:spacing w:line="360" w:lineRule="auto"/>
        <w:rPr>
          <w:rFonts w:hint="eastAsia" w:ascii="仿宋" w:hAnsi="仿宋" w:eastAsia="仿宋" w:cs="仿宋"/>
          <w:color w:val="auto"/>
          <w:sz w:val="28"/>
          <w:szCs w:val="28"/>
          <w:highlight w:val="none"/>
        </w:rPr>
      </w:pPr>
    </w:p>
    <w:p w14:paraId="1FED3C43">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表二符合性审查表：</w:t>
      </w:r>
    </w:p>
    <w:p w14:paraId="61BEF905">
      <w:pPr>
        <w:pStyle w:val="16"/>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采购包1（</w:t>
      </w:r>
      <w:r>
        <w:rPr>
          <w:rFonts w:hint="eastAsia" w:ascii="仿宋" w:hAnsi="仿宋" w:eastAsia="仿宋" w:cs="仿宋"/>
          <w:color w:val="auto"/>
          <w:sz w:val="28"/>
          <w:szCs w:val="28"/>
          <w:highlight w:val="none"/>
          <w:lang w:val="en-US" w:eastAsia="zh-CN"/>
        </w:rPr>
        <w:t>蔬菜、鲜肉及水产类食材配送服务</w:t>
      </w:r>
      <w:r>
        <w:rPr>
          <w:rFonts w:hint="eastAsia" w:ascii="仿宋" w:hAnsi="仿宋" w:eastAsia="仿宋" w:cs="仿宋"/>
          <w:color w:val="auto"/>
          <w:sz w:val="28"/>
          <w:szCs w:val="28"/>
          <w:highlight w:val="none"/>
        </w:rPr>
        <w:t>）：</w:t>
      </w:r>
    </w:p>
    <w:tbl>
      <w:tblPr>
        <w:tblStyle w:val="12"/>
        <w:tblW w:w="4999"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38"/>
        <w:gridCol w:w="2726"/>
        <w:gridCol w:w="5295"/>
      </w:tblGrid>
      <w:tr w14:paraId="2F0DEE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73" w:type="pct"/>
            <w:vAlign w:val="center"/>
          </w:tcPr>
          <w:p w14:paraId="4F286A4C">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序号</w:t>
            </w:r>
          </w:p>
        </w:tc>
        <w:tc>
          <w:tcPr>
            <w:tcW w:w="1504" w:type="pct"/>
            <w:vAlign w:val="center"/>
          </w:tcPr>
          <w:p w14:paraId="5056267A">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评审点要求概况</w:t>
            </w:r>
          </w:p>
        </w:tc>
        <w:tc>
          <w:tcPr>
            <w:tcW w:w="2921" w:type="pct"/>
            <w:vAlign w:val="center"/>
          </w:tcPr>
          <w:p w14:paraId="3023AB1D">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评审点具体描述</w:t>
            </w:r>
          </w:p>
        </w:tc>
      </w:tr>
      <w:tr w14:paraId="352E4A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73" w:type="pct"/>
            <w:vAlign w:val="center"/>
          </w:tcPr>
          <w:p w14:paraId="4C970108">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p>
        </w:tc>
        <w:tc>
          <w:tcPr>
            <w:tcW w:w="1504" w:type="pct"/>
            <w:vAlign w:val="center"/>
          </w:tcPr>
          <w:p w14:paraId="44CD7954">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投标函</w:t>
            </w:r>
          </w:p>
        </w:tc>
        <w:tc>
          <w:tcPr>
            <w:tcW w:w="2921" w:type="pct"/>
            <w:vAlign w:val="center"/>
          </w:tcPr>
          <w:p w14:paraId="7E8BDEB5">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已按规定格式编制及盖章、签署，投标有效期满足招标文件要求。</w:t>
            </w:r>
          </w:p>
        </w:tc>
      </w:tr>
      <w:tr w14:paraId="7E7C30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73" w:type="pct"/>
            <w:vAlign w:val="center"/>
          </w:tcPr>
          <w:p w14:paraId="56DCBE7E">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w:t>
            </w:r>
          </w:p>
        </w:tc>
        <w:tc>
          <w:tcPr>
            <w:tcW w:w="1504" w:type="pct"/>
            <w:vAlign w:val="center"/>
          </w:tcPr>
          <w:p w14:paraId="6C19DA6B">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法定代表人证明书及授权委托书</w:t>
            </w:r>
          </w:p>
        </w:tc>
        <w:tc>
          <w:tcPr>
            <w:tcW w:w="2921" w:type="pct"/>
            <w:vAlign w:val="center"/>
          </w:tcPr>
          <w:p w14:paraId="496F61B3">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已经盖章、签署、授权有效期。</w:t>
            </w:r>
          </w:p>
        </w:tc>
      </w:tr>
      <w:tr w14:paraId="0D197E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73" w:type="pct"/>
            <w:vAlign w:val="center"/>
          </w:tcPr>
          <w:p w14:paraId="2FA0014C">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w:t>
            </w:r>
          </w:p>
        </w:tc>
        <w:tc>
          <w:tcPr>
            <w:tcW w:w="1504" w:type="pct"/>
            <w:vAlign w:val="center"/>
          </w:tcPr>
          <w:p w14:paraId="5B5FE419">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投标文件内容、签署、盖章</w:t>
            </w:r>
          </w:p>
        </w:tc>
        <w:tc>
          <w:tcPr>
            <w:tcW w:w="2921" w:type="pct"/>
            <w:vAlign w:val="center"/>
          </w:tcPr>
          <w:p w14:paraId="40664845">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投标文件内容完整，无重大错漏，并已按招标文件要求盖章、签署。</w:t>
            </w:r>
          </w:p>
        </w:tc>
      </w:tr>
      <w:tr w14:paraId="0A5DF3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73" w:type="pct"/>
            <w:vAlign w:val="center"/>
          </w:tcPr>
          <w:p w14:paraId="14A6E94E">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w:t>
            </w:r>
          </w:p>
        </w:tc>
        <w:tc>
          <w:tcPr>
            <w:tcW w:w="1504" w:type="pct"/>
            <w:vAlign w:val="center"/>
          </w:tcPr>
          <w:p w14:paraId="0CDCEC1C">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投标报价</w:t>
            </w:r>
          </w:p>
        </w:tc>
        <w:tc>
          <w:tcPr>
            <w:tcW w:w="2921" w:type="pct"/>
            <w:vAlign w:val="center"/>
          </w:tcPr>
          <w:p w14:paraId="73D14666">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投标人的投标报价</w:t>
            </w:r>
            <w:r>
              <w:rPr>
                <w:rFonts w:hint="eastAsia" w:ascii="仿宋" w:hAnsi="仿宋" w:eastAsia="仿宋" w:cs="仿宋"/>
                <w:color w:val="auto"/>
                <w:sz w:val="28"/>
                <w:szCs w:val="28"/>
                <w:highlight w:val="none"/>
                <w:lang w:val="en-US" w:eastAsia="zh-CN"/>
              </w:rPr>
              <w:t>符合招标文件要求</w:t>
            </w:r>
            <w:r>
              <w:rPr>
                <w:rFonts w:hint="eastAsia" w:ascii="仿宋" w:hAnsi="仿宋" w:eastAsia="仿宋" w:cs="仿宋"/>
                <w:color w:val="auto"/>
                <w:sz w:val="28"/>
                <w:szCs w:val="28"/>
                <w:highlight w:val="none"/>
              </w:rPr>
              <w:t>。</w:t>
            </w:r>
          </w:p>
        </w:tc>
      </w:tr>
      <w:tr w14:paraId="05E8CD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73" w:type="pct"/>
            <w:vAlign w:val="center"/>
          </w:tcPr>
          <w:p w14:paraId="0CCC825B">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w:t>
            </w:r>
          </w:p>
        </w:tc>
        <w:tc>
          <w:tcPr>
            <w:tcW w:w="1504" w:type="pct"/>
            <w:vAlign w:val="center"/>
          </w:tcPr>
          <w:p w14:paraId="7011B5A4">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商务审查</w:t>
            </w:r>
          </w:p>
        </w:tc>
        <w:tc>
          <w:tcPr>
            <w:tcW w:w="2921" w:type="pct"/>
            <w:vAlign w:val="center"/>
          </w:tcPr>
          <w:p w14:paraId="3048771D">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商务条款满足招标文件要求。</w:t>
            </w:r>
          </w:p>
        </w:tc>
      </w:tr>
      <w:tr w14:paraId="005D9F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73" w:type="pct"/>
            <w:vAlign w:val="center"/>
          </w:tcPr>
          <w:p w14:paraId="4395EF94">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w:t>
            </w:r>
          </w:p>
        </w:tc>
        <w:tc>
          <w:tcPr>
            <w:tcW w:w="1504" w:type="pct"/>
            <w:vAlign w:val="center"/>
          </w:tcPr>
          <w:p w14:paraId="508A72B9">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技术审查</w:t>
            </w:r>
          </w:p>
        </w:tc>
        <w:tc>
          <w:tcPr>
            <w:tcW w:w="2921" w:type="pct"/>
            <w:vAlign w:val="center"/>
          </w:tcPr>
          <w:p w14:paraId="746DAADD">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技术条款满足招标文件要求。</w:t>
            </w:r>
          </w:p>
        </w:tc>
      </w:tr>
      <w:tr w14:paraId="1B3421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73" w:type="pct"/>
            <w:vAlign w:val="center"/>
          </w:tcPr>
          <w:p w14:paraId="341147B3">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7</w:t>
            </w:r>
          </w:p>
        </w:tc>
        <w:tc>
          <w:tcPr>
            <w:tcW w:w="1504" w:type="pct"/>
            <w:vAlign w:val="center"/>
          </w:tcPr>
          <w:p w14:paraId="1EFDFF6E">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需求中带“★”要求</w:t>
            </w:r>
          </w:p>
        </w:tc>
        <w:tc>
          <w:tcPr>
            <w:tcW w:w="2921" w:type="pct"/>
            <w:vAlign w:val="center"/>
          </w:tcPr>
          <w:p w14:paraId="108AD4A6">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投标文件满足招标文件带“★”要求</w:t>
            </w:r>
          </w:p>
        </w:tc>
      </w:tr>
      <w:tr w14:paraId="262021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73" w:type="pct"/>
            <w:vAlign w:val="center"/>
          </w:tcPr>
          <w:p w14:paraId="0F1AE094">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8</w:t>
            </w:r>
          </w:p>
        </w:tc>
        <w:tc>
          <w:tcPr>
            <w:tcW w:w="1504" w:type="pct"/>
            <w:vAlign w:val="center"/>
          </w:tcPr>
          <w:p w14:paraId="54EFD0F5">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附加条件</w:t>
            </w:r>
          </w:p>
        </w:tc>
        <w:tc>
          <w:tcPr>
            <w:tcW w:w="2921" w:type="pct"/>
            <w:vAlign w:val="center"/>
          </w:tcPr>
          <w:p w14:paraId="5D6D4C85">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投标文件未含有采购人不能接受的附加条件。</w:t>
            </w:r>
          </w:p>
        </w:tc>
      </w:tr>
      <w:tr w14:paraId="0CCEC9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73" w:type="pct"/>
            <w:vAlign w:val="center"/>
          </w:tcPr>
          <w:p w14:paraId="0D9ADCEE">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9</w:t>
            </w:r>
          </w:p>
        </w:tc>
        <w:tc>
          <w:tcPr>
            <w:tcW w:w="1504" w:type="pct"/>
            <w:vAlign w:val="center"/>
          </w:tcPr>
          <w:p w14:paraId="076EBB10">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无效情形</w:t>
            </w:r>
          </w:p>
        </w:tc>
        <w:tc>
          <w:tcPr>
            <w:tcW w:w="2921" w:type="pct"/>
            <w:vAlign w:val="center"/>
          </w:tcPr>
          <w:p w14:paraId="3C71C5D3">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投标文件中未有法律、法规和招标文件规定的其他无效情形。</w:t>
            </w:r>
          </w:p>
        </w:tc>
      </w:tr>
    </w:tbl>
    <w:p w14:paraId="3117F42F">
      <w:pPr>
        <w:pStyle w:val="16"/>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采购包</w:t>
      </w:r>
      <w:r>
        <w:rPr>
          <w:rFonts w:hint="eastAsia" w:ascii="仿宋" w:hAnsi="仿宋" w:eastAsia="仿宋" w:cs="仿宋"/>
          <w:color w:val="auto"/>
          <w:sz w:val="28"/>
          <w:szCs w:val="28"/>
          <w:highlight w:val="none"/>
          <w:lang w:val="en-US" w:eastAsia="zh-CN"/>
        </w:rPr>
        <w:t>2</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干货调料、包点、蛋品及冰鲜类食材配送服务</w:t>
      </w:r>
      <w:r>
        <w:rPr>
          <w:rFonts w:hint="eastAsia" w:ascii="仿宋" w:hAnsi="仿宋" w:eastAsia="仿宋" w:cs="仿宋"/>
          <w:color w:val="auto"/>
          <w:sz w:val="28"/>
          <w:szCs w:val="28"/>
          <w:highlight w:val="none"/>
        </w:rPr>
        <w:t>）：</w:t>
      </w:r>
    </w:p>
    <w:tbl>
      <w:tblPr>
        <w:tblStyle w:val="12"/>
        <w:tblW w:w="4999"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38"/>
        <w:gridCol w:w="2726"/>
        <w:gridCol w:w="5295"/>
      </w:tblGrid>
      <w:tr w14:paraId="4BC159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73" w:type="pct"/>
            <w:vAlign w:val="center"/>
          </w:tcPr>
          <w:p w14:paraId="2C9AD4AC">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序号</w:t>
            </w:r>
          </w:p>
        </w:tc>
        <w:tc>
          <w:tcPr>
            <w:tcW w:w="1504" w:type="pct"/>
            <w:vAlign w:val="center"/>
          </w:tcPr>
          <w:p w14:paraId="6B3C9A1F">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评审点要求概况</w:t>
            </w:r>
          </w:p>
        </w:tc>
        <w:tc>
          <w:tcPr>
            <w:tcW w:w="2921" w:type="pct"/>
            <w:vAlign w:val="center"/>
          </w:tcPr>
          <w:p w14:paraId="4CEBC918">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评审点具体描述</w:t>
            </w:r>
          </w:p>
        </w:tc>
      </w:tr>
      <w:tr w14:paraId="150A89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73" w:type="pct"/>
            <w:vAlign w:val="center"/>
          </w:tcPr>
          <w:p w14:paraId="0F3BF019">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p>
        </w:tc>
        <w:tc>
          <w:tcPr>
            <w:tcW w:w="1504" w:type="pct"/>
            <w:vAlign w:val="center"/>
          </w:tcPr>
          <w:p w14:paraId="59F15FBB">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投标函</w:t>
            </w:r>
          </w:p>
        </w:tc>
        <w:tc>
          <w:tcPr>
            <w:tcW w:w="2921" w:type="pct"/>
            <w:vAlign w:val="center"/>
          </w:tcPr>
          <w:p w14:paraId="361B8196">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已按规定格式编制及盖章、签署，投标有效期满足招标文件要求。</w:t>
            </w:r>
          </w:p>
        </w:tc>
      </w:tr>
      <w:tr w14:paraId="1C2E29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73" w:type="pct"/>
            <w:vAlign w:val="center"/>
          </w:tcPr>
          <w:p w14:paraId="4D82A67F">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w:t>
            </w:r>
          </w:p>
        </w:tc>
        <w:tc>
          <w:tcPr>
            <w:tcW w:w="1504" w:type="pct"/>
            <w:vAlign w:val="center"/>
          </w:tcPr>
          <w:p w14:paraId="695A133E">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法定代表人证明书及授权委托书</w:t>
            </w:r>
          </w:p>
        </w:tc>
        <w:tc>
          <w:tcPr>
            <w:tcW w:w="2921" w:type="pct"/>
            <w:vAlign w:val="center"/>
          </w:tcPr>
          <w:p w14:paraId="4A4F37AC">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已经盖章、签署、授权有效期。</w:t>
            </w:r>
          </w:p>
        </w:tc>
      </w:tr>
      <w:tr w14:paraId="77C5E4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73" w:type="pct"/>
            <w:vAlign w:val="center"/>
          </w:tcPr>
          <w:p w14:paraId="2BD018B5">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w:t>
            </w:r>
          </w:p>
        </w:tc>
        <w:tc>
          <w:tcPr>
            <w:tcW w:w="1504" w:type="pct"/>
            <w:vAlign w:val="center"/>
          </w:tcPr>
          <w:p w14:paraId="21FD69D0">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投标文件内容、签署、盖章</w:t>
            </w:r>
          </w:p>
        </w:tc>
        <w:tc>
          <w:tcPr>
            <w:tcW w:w="2921" w:type="pct"/>
            <w:vAlign w:val="center"/>
          </w:tcPr>
          <w:p w14:paraId="224EA8C8">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投标文件内容完整，无重大错漏，并已按招标文件要求盖章、签署。</w:t>
            </w:r>
          </w:p>
        </w:tc>
      </w:tr>
      <w:tr w14:paraId="288190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73" w:type="pct"/>
            <w:vAlign w:val="center"/>
          </w:tcPr>
          <w:p w14:paraId="755165E6">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w:t>
            </w:r>
          </w:p>
        </w:tc>
        <w:tc>
          <w:tcPr>
            <w:tcW w:w="1504" w:type="pct"/>
            <w:vAlign w:val="center"/>
          </w:tcPr>
          <w:p w14:paraId="3111C355">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投标报价</w:t>
            </w:r>
          </w:p>
        </w:tc>
        <w:tc>
          <w:tcPr>
            <w:tcW w:w="2921" w:type="pct"/>
            <w:vAlign w:val="center"/>
          </w:tcPr>
          <w:p w14:paraId="44DA7B27">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投标人的投标报价</w:t>
            </w:r>
            <w:r>
              <w:rPr>
                <w:rFonts w:hint="eastAsia" w:ascii="仿宋" w:hAnsi="仿宋" w:eastAsia="仿宋" w:cs="仿宋"/>
                <w:color w:val="auto"/>
                <w:sz w:val="28"/>
                <w:szCs w:val="28"/>
                <w:highlight w:val="none"/>
                <w:lang w:val="en-US" w:eastAsia="zh-CN"/>
              </w:rPr>
              <w:t>符合招标文件要求</w:t>
            </w:r>
            <w:r>
              <w:rPr>
                <w:rFonts w:hint="eastAsia" w:ascii="仿宋" w:hAnsi="仿宋" w:eastAsia="仿宋" w:cs="仿宋"/>
                <w:color w:val="auto"/>
                <w:sz w:val="28"/>
                <w:szCs w:val="28"/>
                <w:highlight w:val="none"/>
              </w:rPr>
              <w:t>。</w:t>
            </w:r>
          </w:p>
        </w:tc>
      </w:tr>
      <w:tr w14:paraId="790071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73" w:type="pct"/>
            <w:vAlign w:val="center"/>
          </w:tcPr>
          <w:p w14:paraId="3173ECF0">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w:t>
            </w:r>
          </w:p>
        </w:tc>
        <w:tc>
          <w:tcPr>
            <w:tcW w:w="1504" w:type="pct"/>
            <w:vAlign w:val="center"/>
          </w:tcPr>
          <w:p w14:paraId="1597CEA1">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商务审查</w:t>
            </w:r>
          </w:p>
        </w:tc>
        <w:tc>
          <w:tcPr>
            <w:tcW w:w="2921" w:type="pct"/>
            <w:vAlign w:val="center"/>
          </w:tcPr>
          <w:p w14:paraId="3AC12BDA">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商务条款满足招标文件要求。</w:t>
            </w:r>
          </w:p>
        </w:tc>
      </w:tr>
      <w:tr w14:paraId="64C034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73" w:type="pct"/>
            <w:vAlign w:val="center"/>
          </w:tcPr>
          <w:p w14:paraId="20B4F2B5">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w:t>
            </w:r>
          </w:p>
        </w:tc>
        <w:tc>
          <w:tcPr>
            <w:tcW w:w="1504" w:type="pct"/>
            <w:vAlign w:val="center"/>
          </w:tcPr>
          <w:p w14:paraId="36CBBFB1">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技术审查</w:t>
            </w:r>
          </w:p>
        </w:tc>
        <w:tc>
          <w:tcPr>
            <w:tcW w:w="2921" w:type="pct"/>
            <w:vAlign w:val="center"/>
          </w:tcPr>
          <w:p w14:paraId="321EE6FA">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技术条款满足招标文件要求。</w:t>
            </w:r>
          </w:p>
        </w:tc>
      </w:tr>
      <w:tr w14:paraId="0886CA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73" w:type="pct"/>
            <w:vAlign w:val="center"/>
          </w:tcPr>
          <w:p w14:paraId="0F196720">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7</w:t>
            </w:r>
          </w:p>
        </w:tc>
        <w:tc>
          <w:tcPr>
            <w:tcW w:w="1504" w:type="pct"/>
            <w:vAlign w:val="center"/>
          </w:tcPr>
          <w:p w14:paraId="4BA38B16">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需求中带“★”要求</w:t>
            </w:r>
          </w:p>
        </w:tc>
        <w:tc>
          <w:tcPr>
            <w:tcW w:w="2921" w:type="pct"/>
            <w:vAlign w:val="center"/>
          </w:tcPr>
          <w:p w14:paraId="010E9F0A">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投标文件满足招标文件带“★”要求</w:t>
            </w:r>
          </w:p>
        </w:tc>
      </w:tr>
      <w:tr w14:paraId="119ED4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73" w:type="pct"/>
            <w:vAlign w:val="center"/>
          </w:tcPr>
          <w:p w14:paraId="5E97DCC1">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8</w:t>
            </w:r>
          </w:p>
        </w:tc>
        <w:tc>
          <w:tcPr>
            <w:tcW w:w="1504" w:type="pct"/>
            <w:vAlign w:val="center"/>
          </w:tcPr>
          <w:p w14:paraId="4D126FC5">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附加条件</w:t>
            </w:r>
          </w:p>
        </w:tc>
        <w:tc>
          <w:tcPr>
            <w:tcW w:w="2921" w:type="pct"/>
            <w:vAlign w:val="center"/>
          </w:tcPr>
          <w:p w14:paraId="7C13AF03">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投标文件未含有采购人不能接受的附加条件。</w:t>
            </w:r>
          </w:p>
        </w:tc>
      </w:tr>
      <w:tr w14:paraId="046F0E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73" w:type="pct"/>
            <w:vAlign w:val="center"/>
          </w:tcPr>
          <w:p w14:paraId="0856712E">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9</w:t>
            </w:r>
          </w:p>
        </w:tc>
        <w:tc>
          <w:tcPr>
            <w:tcW w:w="1504" w:type="pct"/>
            <w:vAlign w:val="center"/>
          </w:tcPr>
          <w:p w14:paraId="421911F9">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无效情形</w:t>
            </w:r>
          </w:p>
        </w:tc>
        <w:tc>
          <w:tcPr>
            <w:tcW w:w="2921" w:type="pct"/>
            <w:vAlign w:val="center"/>
          </w:tcPr>
          <w:p w14:paraId="447C090A">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投标文件中未有法律、法规和招标文件规定的其他无效情形。</w:t>
            </w:r>
          </w:p>
        </w:tc>
      </w:tr>
    </w:tbl>
    <w:p w14:paraId="2402C4BB">
      <w:pPr>
        <w:pStyle w:val="16"/>
        <w:spacing w:line="360" w:lineRule="auto"/>
        <w:outlineLvl w:val="2"/>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2.投标文件澄清</w:t>
      </w:r>
    </w:p>
    <w:p w14:paraId="4C52B815">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14:paraId="066075AB">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若因投标人联系方式错误未接收短信、未接听电话或超时未进行澄清（响应）造成的不利后果由供应商自行承担。投标人的澄清、说明或者补正不得超出投标文件的范围或者改变投标文件的实质性内容。</w:t>
      </w:r>
    </w:p>
    <w:p w14:paraId="1FABC849">
      <w:pPr>
        <w:pStyle w:val="16"/>
        <w:spacing w:line="360" w:lineRule="auto"/>
        <w:ind w:firstLine="480"/>
        <w:outlineLvl w:val="3"/>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2.2评标委员会不接受投标人主动提出的澄清、说明或补正。</w:t>
      </w:r>
    </w:p>
    <w:p w14:paraId="6874A078">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2.3评标委员会对投标人提交的澄清、说明或补正有疑问的，可以要求投标人进一步澄清、说明或补正。</w:t>
      </w:r>
    </w:p>
    <w:p w14:paraId="52B5CD98">
      <w:pPr>
        <w:pStyle w:val="16"/>
        <w:spacing w:line="360" w:lineRule="auto"/>
        <w:outlineLvl w:val="2"/>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3.详细评审</w:t>
      </w:r>
    </w:p>
    <w:p w14:paraId="11791F17">
      <w:pPr>
        <w:pStyle w:val="16"/>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采购包1</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蔬菜、鲜肉及水产类食材配送服务</w:t>
      </w:r>
      <w:r>
        <w:rPr>
          <w:rFonts w:hint="eastAsia" w:ascii="仿宋" w:hAnsi="仿宋" w:eastAsia="仿宋" w:cs="仿宋"/>
          <w:color w:val="auto"/>
          <w:sz w:val="28"/>
          <w:szCs w:val="28"/>
          <w:highlight w:val="none"/>
          <w:lang w:eastAsia="zh-CN"/>
        </w:rPr>
        <w:t>）：</w:t>
      </w:r>
    </w:p>
    <w:tbl>
      <w:tblPr>
        <w:tblStyle w:val="12"/>
        <w:tblW w:w="5138" w:type="pct"/>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0" w:type="dxa"/>
          <w:bottom w:w="0" w:type="dxa"/>
          <w:right w:w="0" w:type="dxa"/>
        </w:tblCellMar>
      </w:tblPr>
      <w:tblGrid>
        <w:gridCol w:w="836"/>
        <w:gridCol w:w="1047"/>
        <w:gridCol w:w="7223"/>
      </w:tblGrid>
      <w:tr w14:paraId="78964DB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9" w:hRule="atLeast"/>
          <w:jc w:val="center"/>
        </w:trPr>
        <w:tc>
          <w:tcPr>
            <w:tcW w:w="459" w:type="pct"/>
            <w:vAlign w:val="center"/>
          </w:tcPr>
          <w:p w14:paraId="093B035C">
            <w:pPr>
              <w:pStyle w:val="26"/>
              <w:keepNext w:val="0"/>
              <w:keepLines w:val="0"/>
              <w:pageBreakBefore w:val="0"/>
              <w:kinsoku/>
              <w:wordWrap/>
              <w:overflowPunct/>
              <w:topLinePunct w:val="0"/>
              <w:autoSpaceDE/>
              <w:autoSpaceDN/>
              <w:bidi w:val="0"/>
              <w:adjustRightInd/>
              <w:snapToGrid/>
              <w:spacing w:before="60"/>
              <w:ind w:right="168"/>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评审因素</w:t>
            </w:r>
          </w:p>
        </w:tc>
        <w:tc>
          <w:tcPr>
            <w:tcW w:w="4540" w:type="pct"/>
            <w:gridSpan w:val="2"/>
            <w:vAlign w:val="center"/>
          </w:tcPr>
          <w:p w14:paraId="277B520D">
            <w:pPr>
              <w:pStyle w:val="26"/>
              <w:keepNext w:val="0"/>
              <w:keepLines w:val="0"/>
              <w:pageBreakBefore w:val="0"/>
              <w:kinsoku/>
              <w:wordWrap/>
              <w:overflowPunct/>
              <w:topLinePunct w:val="0"/>
              <w:autoSpaceDE/>
              <w:autoSpaceDN/>
              <w:bidi w:val="0"/>
              <w:adjustRightInd/>
              <w:snapToGrid/>
              <w:spacing w:before="60"/>
              <w:ind w:right="4278"/>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评审标准</w:t>
            </w:r>
          </w:p>
        </w:tc>
      </w:tr>
      <w:tr w14:paraId="4B01214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278" w:hRule="atLeast"/>
          <w:jc w:val="center"/>
        </w:trPr>
        <w:tc>
          <w:tcPr>
            <w:tcW w:w="459" w:type="pct"/>
            <w:vAlign w:val="center"/>
          </w:tcPr>
          <w:p w14:paraId="143EA79E">
            <w:pPr>
              <w:pStyle w:val="26"/>
              <w:keepNext w:val="0"/>
              <w:keepLines w:val="0"/>
              <w:pageBreakBefore w:val="0"/>
              <w:kinsoku/>
              <w:wordWrap/>
              <w:overflowPunct/>
              <w:topLinePunct w:val="0"/>
              <w:autoSpaceDE/>
              <w:autoSpaceDN/>
              <w:bidi w:val="0"/>
              <w:adjustRightInd/>
              <w:snapToGrid/>
              <w:ind w:right="168"/>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分值构成</w:t>
            </w:r>
          </w:p>
        </w:tc>
        <w:tc>
          <w:tcPr>
            <w:tcW w:w="4540" w:type="pct"/>
            <w:gridSpan w:val="2"/>
            <w:vAlign w:val="center"/>
          </w:tcPr>
          <w:p w14:paraId="462FC3B6">
            <w:pPr>
              <w:pStyle w:val="26"/>
              <w:keepNext w:val="0"/>
              <w:keepLines w:val="0"/>
              <w:pageBreakBefore w:val="0"/>
              <w:widowControl w:val="0"/>
              <w:kinsoku/>
              <w:wordWrap/>
              <w:overflowPunct/>
              <w:topLinePunct w:val="0"/>
              <w:autoSpaceDE/>
              <w:autoSpaceDN/>
              <w:bidi w:val="0"/>
              <w:adjustRightInd/>
              <w:snapToGrid/>
              <w:spacing w:line="360" w:lineRule="auto"/>
              <w:ind w:left="102"/>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商务部分</w:t>
            </w:r>
            <w:r>
              <w:rPr>
                <w:rFonts w:hint="eastAsia" w:ascii="仿宋" w:hAnsi="仿宋" w:eastAsia="仿宋" w:cs="仿宋"/>
                <w:color w:val="auto"/>
                <w:sz w:val="28"/>
                <w:szCs w:val="28"/>
                <w:highlight w:val="none"/>
                <w:lang w:val="en-US" w:eastAsia="zh-CN"/>
              </w:rPr>
              <w:t>20</w:t>
            </w:r>
            <w:r>
              <w:rPr>
                <w:rFonts w:hint="eastAsia" w:ascii="仿宋" w:hAnsi="仿宋" w:eastAsia="仿宋" w:cs="仿宋"/>
                <w:color w:val="auto"/>
                <w:sz w:val="28"/>
                <w:szCs w:val="28"/>
                <w:highlight w:val="none"/>
              </w:rPr>
              <w:t>.0分</w:t>
            </w:r>
          </w:p>
          <w:p w14:paraId="49FDF4AA">
            <w:pPr>
              <w:pStyle w:val="26"/>
              <w:keepNext w:val="0"/>
              <w:keepLines w:val="0"/>
              <w:pageBreakBefore w:val="0"/>
              <w:widowControl w:val="0"/>
              <w:kinsoku/>
              <w:wordWrap/>
              <w:overflowPunct/>
              <w:topLinePunct w:val="0"/>
              <w:autoSpaceDE/>
              <w:autoSpaceDN/>
              <w:bidi w:val="0"/>
              <w:adjustRightInd/>
              <w:snapToGrid/>
              <w:spacing w:line="360" w:lineRule="auto"/>
              <w:ind w:left="102"/>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技术部分</w:t>
            </w:r>
            <w:r>
              <w:rPr>
                <w:rFonts w:hint="eastAsia" w:ascii="仿宋" w:hAnsi="仿宋" w:eastAsia="仿宋" w:cs="仿宋"/>
                <w:color w:val="auto"/>
                <w:sz w:val="28"/>
                <w:szCs w:val="28"/>
                <w:highlight w:val="none"/>
                <w:lang w:val="en-US" w:eastAsia="zh-CN"/>
              </w:rPr>
              <w:t>50</w:t>
            </w:r>
            <w:r>
              <w:rPr>
                <w:rFonts w:hint="eastAsia" w:ascii="仿宋" w:hAnsi="仿宋" w:eastAsia="仿宋" w:cs="仿宋"/>
                <w:color w:val="auto"/>
                <w:sz w:val="28"/>
                <w:szCs w:val="28"/>
                <w:highlight w:val="none"/>
              </w:rPr>
              <w:t>.0分</w:t>
            </w:r>
          </w:p>
          <w:p w14:paraId="33FA533F">
            <w:pPr>
              <w:pStyle w:val="26"/>
              <w:keepNext w:val="0"/>
              <w:keepLines w:val="0"/>
              <w:pageBreakBefore w:val="0"/>
              <w:widowControl w:val="0"/>
              <w:kinsoku/>
              <w:wordWrap/>
              <w:overflowPunct/>
              <w:topLinePunct w:val="0"/>
              <w:autoSpaceDE/>
              <w:autoSpaceDN/>
              <w:bidi w:val="0"/>
              <w:adjustRightInd/>
              <w:snapToGrid/>
              <w:spacing w:line="360" w:lineRule="auto"/>
              <w:ind w:left="102"/>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报价得分</w:t>
            </w:r>
            <w:r>
              <w:rPr>
                <w:rFonts w:hint="eastAsia" w:ascii="仿宋" w:hAnsi="仿宋" w:eastAsia="仿宋" w:cs="仿宋"/>
                <w:color w:val="auto"/>
                <w:sz w:val="28"/>
                <w:szCs w:val="28"/>
                <w:highlight w:val="none"/>
                <w:lang w:val="en-US" w:eastAsia="zh-CN"/>
              </w:rPr>
              <w:t>3</w:t>
            </w:r>
            <w:r>
              <w:rPr>
                <w:rFonts w:hint="eastAsia" w:ascii="仿宋" w:hAnsi="仿宋" w:eastAsia="仿宋" w:cs="仿宋"/>
                <w:color w:val="auto"/>
                <w:sz w:val="28"/>
                <w:szCs w:val="28"/>
                <w:highlight w:val="none"/>
              </w:rPr>
              <w:t>0.0分</w:t>
            </w:r>
          </w:p>
        </w:tc>
      </w:tr>
      <w:tr w14:paraId="60D7744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0" w:hRule="atLeast"/>
          <w:jc w:val="center"/>
        </w:trPr>
        <w:tc>
          <w:tcPr>
            <w:tcW w:w="459" w:type="pct"/>
            <w:vMerge w:val="restart"/>
            <w:vAlign w:val="center"/>
          </w:tcPr>
          <w:p w14:paraId="2513BDC7">
            <w:pPr>
              <w:pStyle w:val="26"/>
              <w:keepNext w:val="0"/>
              <w:keepLines w:val="0"/>
              <w:pageBreakBefore w:val="0"/>
              <w:kinsoku/>
              <w:wordWrap/>
              <w:overflowPunct/>
              <w:topLinePunct w:val="0"/>
              <w:autoSpaceDE/>
              <w:autoSpaceDN/>
              <w:bidi w:val="0"/>
              <w:adjustRightInd/>
              <w:snapToGrid/>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技术部分</w:t>
            </w:r>
          </w:p>
        </w:tc>
        <w:tc>
          <w:tcPr>
            <w:tcW w:w="575" w:type="pct"/>
            <w:tcBorders>
              <w:bottom w:val="single" w:color="000000" w:sz="6" w:space="0"/>
            </w:tcBorders>
            <w:vAlign w:val="center"/>
          </w:tcPr>
          <w:p w14:paraId="5D40C918">
            <w:pPr>
              <w:pStyle w:val="16"/>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总体实施方案</w:t>
            </w:r>
          </w:p>
          <w:p w14:paraId="775A3E55">
            <w:pPr>
              <w:pStyle w:val="16"/>
              <w:jc w:val="center"/>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（8.0分）</w:t>
            </w:r>
          </w:p>
        </w:tc>
        <w:tc>
          <w:tcPr>
            <w:tcW w:w="3964" w:type="pct"/>
            <w:tcBorders>
              <w:bottom w:val="single" w:color="000000" w:sz="6" w:space="0"/>
            </w:tcBorders>
            <w:vAlign w:val="top"/>
          </w:tcPr>
          <w:p w14:paraId="78DEEDF0">
            <w:pPr>
              <w:pStyle w:val="16"/>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根据投标人提供的本项目总体实施方案（包括但不限于：实施组织计划、总体工作流程等）进行评审：</w:t>
            </w:r>
          </w:p>
          <w:p w14:paraId="6CB7B48D">
            <w:pPr>
              <w:pStyle w:val="16"/>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1、实施方案非常详细全面，实施组织计划科学合理，总体工作流程详尽完善、步骤清晰明确，服务标准非常高，完全满足本项目采购需求要求的，得</w:t>
            </w:r>
            <w:r>
              <w:rPr>
                <w:rFonts w:hint="eastAsia" w:ascii="仿宋" w:hAnsi="仿宋" w:eastAsia="仿宋" w:cs="仿宋"/>
                <w:color w:val="auto"/>
                <w:sz w:val="28"/>
                <w:szCs w:val="28"/>
                <w:highlight w:val="none"/>
                <w:lang w:val="en-US" w:eastAsia="zh-CN"/>
              </w:rPr>
              <w:t>8</w:t>
            </w:r>
            <w:r>
              <w:rPr>
                <w:rFonts w:hint="eastAsia" w:ascii="仿宋" w:hAnsi="仿宋" w:eastAsia="仿宋" w:cs="仿宋"/>
                <w:color w:val="auto"/>
                <w:sz w:val="28"/>
                <w:szCs w:val="28"/>
                <w:highlight w:val="none"/>
              </w:rPr>
              <w:t>分；</w:t>
            </w:r>
          </w:p>
          <w:p w14:paraId="405D76EC">
            <w:pPr>
              <w:pStyle w:val="16"/>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2、实施方案详细全面，实施组织计划比较符合项目需求的，总体工作流程比较完善、步骤较清晰明确，服务标准高，能满足本项目采购需求要求的，得</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分；</w:t>
            </w:r>
          </w:p>
          <w:p w14:paraId="761712C0">
            <w:pPr>
              <w:pStyle w:val="16"/>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3、实施组织计划基本合理，总体工作流程基本完整，服务标准较高，保障措施可行的，基本满足本项目采购需求要求的，得</w:t>
            </w:r>
            <w:r>
              <w:rPr>
                <w:rFonts w:hint="eastAsia" w:ascii="仿宋" w:hAnsi="仿宋" w:eastAsia="仿宋" w:cs="仿宋"/>
                <w:color w:val="auto"/>
                <w:sz w:val="28"/>
                <w:szCs w:val="28"/>
                <w:highlight w:val="none"/>
                <w:lang w:val="en-US" w:eastAsia="zh-CN"/>
              </w:rPr>
              <w:t>3</w:t>
            </w:r>
            <w:r>
              <w:rPr>
                <w:rFonts w:hint="eastAsia" w:ascii="仿宋" w:hAnsi="仿宋" w:eastAsia="仿宋" w:cs="仿宋"/>
                <w:color w:val="auto"/>
                <w:sz w:val="28"/>
                <w:szCs w:val="28"/>
                <w:highlight w:val="none"/>
              </w:rPr>
              <w:t>分；</w:t>
            </w:r>
          </w:p>
          <w:p w14:paraId="1EF4E8F6">
            <w:pPr>
              <w:pStyle w:val="16"/>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4、实施组织计划、总体工作流程简略、服务标准及保障措施可行性较差的，难以满足本项目采购需求要求的，得1分；</w:t>
            </w:r>
          </w:p>
          <w:p w14:paraId="43EA4B66">
            <w:pPr>
              <w:pStyle w:val="16"/>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5、未提供相关方案的，得0分。</w:t>
            </w:r>
          </w:p>
        </w:tc>
      </w:tr>
      <w:tr w14:paraId="39B7A33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0" w:hRule="atLeast"/>
          <w:jc w:val="center"/>
        </w:trPr>
        <w:tc>
          <w:tcPr>
            <w:tcW w:w="459" w:type="pct"/>
            <w:vMerge w:val="continue"/>
            <w:vAlign w:val="center"/>
          </w:tcPr>
          <w:p w14:paraId="41472FAE">
            <w:pPr>
              <w:pStyle w:val="26"/>
              <w:keepNext w:val="0"/>
              <w:keepLines w:val="0"/>
              <w:pageBreakBefore w:val="0"/>
              <w:kinsoku/>
              <w:wordWrap/>
              <w:overflowPunct/>
              <w:topLinePunct w:val="0"/>
              <w:autoSpaceDE/>
              <w:autoSpaceDN/>
              <w:bidi w:val="0"/>
              <w:adjustRightInd/>
              <w:snapToGrid/>
              <w:jc w:val="center"/>
              <w:textAlignment w:val="auto"/>
              <w:rPr>
                <w:rFonts w:hint="eastAsia" w:ascii="仿宋" w:hAnsi="仿宋" w:eastAsia="仿宋" w:cs="仿宋"/>
                <w:color w:val="auto"/>
                <w:sz w:val="28"/>
                <w:szCs w:val="28"/>
                <w:highlight w:val="none"/>
              </w:rPr>
            </w:pPr>
          </w:p>
        </w:tc>
        <w:tc>
          <w:tcPr>
            <w:tcW w:w="575" w:type="pct"/>
            <w:tcBorders>
              <w:bottom w:val="single" w:color="000000" w:sz="6" w:space="0"/>
            </w:tcBorders>
            <w:vAlign w:val="center"/>
          </w:tcPr>
          <w:p w14:paraId="413FDCAE">
            <w:pPr>
              <w:pStyle w:val="16"/>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食品安全质量保障方案</w:t>
            </w:r>
          </w:p>
          <w:p w14:paraId="0DC2EC8C">
            <w:pPr>
              <w:pStyle w:val="16"/>
              <w:jc w:val="center"/>
              <w:rPr>
                <w:rFonts w:hint="eastAsia" w:ascii="仿宋" w:hAnsi="仿宋" w:eastAsia="仿宋" w:cs="仿宋"/>
                <w:color w:val="auto"/>
                <w:kern w:val="2"/>
                <w:sz w:val="28"/>
                <w:szCs w:val="28"/>
                <w:highlight w:val="none"/>
                <w:lang w:val="zh-CN" w:eastAsia="zh-CN" w:bidi="zh-CN"/>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0</w:t>
            </w:r>
            <w:r>
              <w:rPr>
                <w:rFonts w:hint="eastAsia" w:ascii="仿宋" w:hAnsi="仿宋" w:eastAsia="仿宋" w:cs="仿宋"/>
                <w:color w:val="auto"/>
                <w:sz w:val="28"/>
                <w:szCs w:val="28"/>
                <w:highlight w:val="none"/>
              </w:rPr>
              <w:t>.0分)</w:t>
            </w:r>
          </w:p>
        </w:tc>
        <w:tc>
          <w:tcPr>
            <w:tcW w:w="3964" w:type="pct"/>
            <w:tcBorders>
              <w:bottom w:val="single" w:color="000000" w:sz="6" w:space="0"/>
            </w:tcBorders>
            <w:vAlign w:val="top"/>
          </w:tcPr>
          <w:p w14:paraId="0A642749">
            <w:pPr>
              <w:pStyle w:val="16"/>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根据投标人提供针对本项目的食品安全质量保障方案（包括但不限于：货物的来源、生长环境、加工、包装、食物卫生、安全的标准、控制措施、质量保证措施等)进行评审：</w:t>
            </w:r>
          </w:p>
          <w:p w14:paraId="136C2661">
            <w:pPr>
              <w:pStyle w:val="16"/>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1、食品安全质量保障方案详尽完善，非常科学合理、切实可行，产品质量把控非常严谨，严格按照国家相关要求执行的，完全满足本项目采购需求要求的，得1</w:t>
            </w:r>
            <w:r>
              <w:rPr>
                <w:rFonts w:hint="eastAsia" w:ascii="仿宋" w:hAnsi="仿宋" w:eastAsia="仿宋" w:cs="仿宋"/>
                <w:color w:val="auto"/>
                <w:sz w:val="28"/>
                <w:szCs w:val="28"/>
                <w:highlight w:val="none"/>
                <w:lang w:val="en-US" w:eastAsia="zh-CN"/>
              </w:rPr>
              <w:t>0</w:t>
            </w:r>
            <w:r>
              <w:rPr>
                <w:rFonts w:hint="eastAsia" w:ascii="仿宋" w:hAnsi="仿宋" w:eastAsia="仿宋" w:cs="仿宋"/>
                <w:color w:val="auto"/>
                <w:sz w:val="28"/>
                <w:szCs w:val="28"/>
                <w:highlight w:val="none"/>
              </w:rPr>
              <w:t>分；</w:t>
            </w:r>
          </w:p>
          <w:p w14:paraId="143F4172">
            <w:pPr>
              <w:pStyle w:val="16"/>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2、食品安全质量保障方案详细，符合科学要求、产品质量把控非常严谨，按照国家相关要求执行的，能满足本项目采购需求要求的，得</w:t>
            </w:r>
            <w:r>
              <w:rPr>
                <w:rFonts w:hint="eastAsia" w:ascii="仿宋" w:hAnsi="仿宋" w:eastAsia="仿宋" w:cs="仿宋"/>
                <w:color w:val="auto"/>
                <w:sz w:val="28"/>
                <w:szCs w:val="28"/>
                <w:highlight w:val="none"/>
                <w:lang w:val="en-US" w:eastAsia="zh-CN"/>
              </w:rPr>
              <w:t>7</w:t>
            </w:r>
            <w:r>
              <w:rPr>
                <w:rFonts w:hint="eastAsia" w:ascii="仿宋" w:hAnsi="仿宋" w:eastAsia="仿宋" w:cs="仿宋"/>
                <w:color w:val="auto"/>
                <w:sz w:val="28"/>
                <w:szCs w:val="28"/>
                <w:highlight w:val="none"/>
              </w:rPr>
              <w:t>分；</w:t>
            </w:r>
          </w:p>
          <w:p w14:paraId="3FA03CCF">
            <w:pPr>
              <w:pStyle w:val="16"/>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3、食品安全保障方案比较合理、可行，产品质量把控非常严谨，基本满足本项目采购需求要求的，得</w:t>
            </w: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rPr>
              <w:t>分；</w:t>
            </w:r>
          </w:p>
          <w:p w14:paraId="0CC7AAF8">
            <w:pPr>
              <w:pStyle w:val="16"/>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4、食品安全保障方案基本合理、可行，产品质量把控严谨，难以满足本项目采购需求要求的，得1分；</w:t>
            </w:r>
          </w:p>
          <w:p w14:paraId="1DE90EE3">
            <w:pPr>
              <w:pStyle w:val="16"/>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kern w:val="2"/>
                <w:sz w:val="28"/>
                <w:szCs w:val="28"/>
                <w:highlight w:val="none"/>
                <w:lang w:val="zh-CN" w:eastAsia="zh-CN" w:bidi="zh-CN"/>
              </w:rPr>
            </w:pPr>
            <w:r>
              <w:rPr>
                <w:rFonts w:hint="eastAsia" w:ascii="仿宋" w:hAnsi="仿宋" w:eastAsia="仿宋" w:cs="仿宋"/>
                <w:color w:val="auto"/>
                <w:sz w:val="28"/>
                <w:szCs w:val="28"/>
                <w:highlight w:val="none"/>
              </w:rPr>
              <w:t>5、未提供相关方案的，得0分。</w:t>
            </w:r>
          </w:p>
        </w:tc>
      </w:tr>
      <w:tr w14:paraId="6F3A6FD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0" w:hRule="atLeast"/>
          <w:jc w:val="center"/>
        </w:trPr>
        <w:tc>
          <w:tcPr>
            <w:tcW w:w="459" w:type="pct"/>
            <w:vMerge w:val="continue"/>
            <w:vAlign w:val="center"/>
          </w:tcPr>
          <w:p w14:paraId="2A267ED8">
            <w:pPr>
              <w:keepNext w:val="0"/>
              <w:keepLines w:val="0"/>
              <w:pageBreakBefore w:val="0"/>
              <w:kinsoku/>
              <w:wordWrap/>
              <w:overflowPunct/>
              <w:topLinePunct w:val="0"/>
              <w:autoSpaceDE/>
              <w:autoSpaceDN/>
              <w:bidi w:val="0"/>
              <w:adjustRightInd/>
              <w:snapToGrid/>
              <w:jc w:val="center"/>
              <w:textAlignment w:val="auto"/>
              <w:rPr>
                <w:rFonts w:hint="eastAsia" w:ascii="仿宋" w:hAnsi="仿宋" w:eastAsia="仿宋" w:cs="仿宋"/>
                <w:color w:val="auto"/>
                <w:sz w:val="28"/>
                <w:szCs w:val="28"/>
                <w:highlight w:val="none"/>
              </w:rPr>
            </w:pPr>
          </w:p>
        </w:tc>
        <w:tc>
          <w:tcPr>
            <w:tcW w:w="575" w:type="pct"/>
            <w:tcBorders>
              <w:top w:val="single" w:color="000000" w:sz="6" w:space="0"/>
              <w:bottom w:val="single" w:color="000000" w:sz="6" w:space="0"/>
            </w:tcBorders>
            <w:vAlign w:val="center"/>
          </w:tcPr>
          <w:p w14:paraId="0162E369">
            <w:pPr>
              <w:pStyle w:val="16"/>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配送服务方案</w:t>
            </w:r>
          </w:p>
          <w:p w14:paraId="35795DEB">
            <w:pPr>
              <w:pStyle w:val="16"/>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8</w:t>
            </w:r>
            <w:r>
              <w:rPr>
                <w:rFonts w:hint="eastAsia" w:ascii="仿宋" w:hAnsi="仿宋" w:eastAsia="仿宋" w:cs="仿宋"/>
                <w:color w:val="auto"/>
                <w:sz w:val="28"/>
                <w:szCs w:val="28"/>
                <w:highlight w:val="none"/>
              </w:rPr>
              <w:t>.0分)</w:t>
            </w:r>
          </w:p>
        </w:tc>
        <w:tc>
          <w:tcPr>
            <w:tcW w:w="3964" w:type="pct"/>
            <w:tcBorders>
              <w:top w:val="single" w:color="000000" w:sz="6" w:space="0"/>
              <w:bottom w:val="single" w:color="000000" w:sz="6" w:space="0"/>
            </w:tcBorders>
            <w:vAlign w:val="top"/>
          </w:tcPr>
          <w:p w14:paraId="0F4A462F">
            <w:pPr>
              <w:pStyle w:val="16"/>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根据投标人提供的针对本项目的配送服务方案（包括但不限于：运送要求、配送时效、食材存放、车辆卫生等）进行评审：</w:t>
            </w:r>
          </w:p>
          <w:p w14:paraId="0A36C59E">
            <w:pPr>
              <w:pStyle w:val="16"/>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1、配送方案非常详细完善，运输工具定期消毒、堆放科学、合理，货品容器非常干净整洁、卸货方式可行性强，配送时间优于本项目采购需求要求的，得</w:t>
            </w:r>
            <w:r>
              <w:rPr>
                <w:rFonts w:hint="eastAsia" w:ascii="仿宋" w:hAnsi="仿宋" w:eastAsia="仿宋" w:cs="仿宋"/>
                <w:color w:val="auto"/>
                <w:sz w:val="28"/>
                <w:szCs w:val="28"/>
                <w:highlight w:val="none"/>
                <w:lang w:val="en-US" w:eastAsia="zh-CN"/>
              </w:rPr>
              <w:t>8</w:t>
            </w:r>
            <w:r>
              <w:rPr>
                <w:rFonts w:hint="eastAsia" w:ascii="仿宋" w:hAnsi="仿宋" w:eastAsia="仿宋" w:cs="仿宋"/>
                <w:color w:val="auto"/>
                <w:sz w:val="28"/>
                <w:szCs w:val="28"/>
                <w:highlight w:val="none"/>
              </w:rPr>
              <w:t>分；</w:t>
            </w:r>
          </w:p>
          <w:p w14:paraId="78F3604F">
            <w:pPr>
              <w:pStyle w:val="16"/>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2、配送方案详细完善，运输工具定期消毒、堆放较科学、合理，货品容器干净整洁、卸货方式可行性强，配送时间符合本项目采购需求要求的，得</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分；</w:t>
            </w:r>
          </w:p>
          <w:p w14:paraId="5D2B9714">
            <w:pPr>
              <w:pStyle w:val="16"/>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3、配送方案较完整，运输工具干净，货品容器卫生，卸货方式可行性较一般，配送时间基本符合本项目采购需求要求的，得</w:t>
            </w:r>
            <w:r>
              <w:rPr>
                <w:rFonts w:hint="eastAsia" w:ascii="仿宋" w:hAnsi="仿宋" w:eastAsia="仿宋" w:cs="仿宋"/>
                <w:color w:val="auto"/>
                <w:sz w:val="28"/>
                <w:szCs w:val="28"/>
                <w:highlight w:val="none"/>
                <w:lang w:val="en-US" w:eastAsia="zh-CN"/>
              </w:rPr>
              <w:t>3</w:t>
            </w:r>
            <w:r>
              <w:rPr>
                <w:rFonts w:hint="eastAsia" w:ascii="仿宋" w:hAnsi="仿宋" w:eastAsia="仿宋" w:cs="仿宋"/>
                <w:color w:val="auto"/>
                <w:sz w:val="28"/>
                <w:szCs w:val="28"/>
                <w:highlight w:val="none"/>
              </w:rPr>
              <w:t>分；</w:t>
            </w:r>
          </w:p>
          <w:p w14:paraId="35356319">
            <w:pPr>
              <w:pStyle w:val="16"/>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4、配送方案简略，运输工具、货品容器清洁度较差，配送时效合理，难以满足本项目采购需求要求的，得1分；</w:t>
            </w:r>
          </w:p>
          <w:p w14:paraId="25F04241">
            <w:pPr>
              <w:pStyle w:val="16"/>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5、未提供相关方案的，得0分。</w:t>
            </w:r>
          </w:p>
        </w:tc>
      </w:tr>
      <w:tr w14:paraId="3D3862B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0" w:hRule="atLeast"/>
          <w:jc w:val="center"/>
        </w:trPr>
        <w:tc>
          <w:tcPr>
            <w:tcW w:w="459" w:type="pct"/>
            <w:vMerge w:val="continue"/>
            <w:vAlign w:val="center"/>
          </w:tcPr>
          <w:p w14:paraId="351BC4A9">
            <w:pPr>
              <w:keepNext w:val="0"/>
              <w:keepLines w:val="0"/>
              <w:pageBreakBefore w:val="0"/>
              <w:kinsoku/>
              <w:wordWrap/>
              <w:overflowPunct/>
              <w:topLinePunct w:val="0"/>
              <w:autoSpaceDE/>
              <w:autoSpaceDN/>
              <w:bidi w:val="0"/>
              <w:adjustRightInd/>
              <w:snapToGrid/>
              <w:jc w:val="center"/>
              <w:textAlignment w:val="auto"/>
              <w:rPr>
                <w:rFonts w:hint="eastAsia" w:ascii="仿宋" w:hAnsi="仿宋" w:eastAsia="仿宋" w:cs="仿宋"/>
                <w:color w:val="auto"/>
                <w:sz w:val="28"/>
                <w:szCs w:val="28"/>
                <w:highlight w:val="none"/>
              </w:rPr>
            </w:pPr>
          </w:p>
        </w:tc>
        <w:tc>
          <w:tcPr>
            <w:tcW w:w="575" w:type="pct"/>
            <w:tcBorders>
              <w:top w:val="single" w:color="000000" w:sz="6" w:space="0"/>
              <w:bottom w:val="single" w:color="000000" w:sz="6" w:space="0"/>
            </w:tcBorders>
            <w:vAlign w:val="center"/>
          </w:tcPr>
          <w:p w14:paraId="432CC92C">
            <w:pPr>
              <w:pStyle w:val="16"/>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售后服务方案</w:t>
            </w:r>
          </w:p>
          <w:p w14:paraId="7B56FC19">
            <w:pPr>
              <w:pStyle w:val="16"/>
              <w:jc w:val="center"/>
              <w:rPr>
                <w:rFonts w:hint="eastAsia" w:ascii="仿宋" w:hAnsi="仿宋" w:eastAsia="仿宋" w:cs="仿宋"/>
                <w:color w:val="auto"/>
                <w:kern w:val="2"/>
                <w:sz w:val="28"/>
                <w:szCs w:val="28"/>
                <w:highlight w:val="none"/>
                <w:lang w:val="zh-CN" w:eastAsia="zh-CN" w:bidi="zh-CN"/>
              </w:rPr>
            </w:pP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8</w:t>
            </w:r>
            <w:r>
              <w:rPr>
                <w:rFonts w:hint="eastAsia" w:ascii="仿宋" w:hAnsi="仿宋" w:eastAsia="仿宋" w:cs="仿宋"/>
                <w:color w:val="auto"/>
                <w:sz w:val="28"/>
                <w:szCs w:val="28"/>
                <w:highlight w:val="none"/>
              </w:rPr>
              <w:t>.0分)</w:t>
            </w:r>
          </w:p>
        </w:tc>
        <w:tc>
          <w:tcPr>
            <w:tcW w:w="3964" w:type="pct"/>
            <w:tcBorders>
              <w:top w:val="single" w:color="000000" w:sz="6" w:space="0"/>
              <w:bottom w:val="single" w:color="000000" w:sz="6" w:space="0"/>
            </w:tcBorders>
            <w:vAlign w:val="top"/>
          </w:tcPr>
          <w:p w14:paraId="0650193B">
            <w:pPr>
              <w:pStyle w:val="16"/>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根据投标人提供的售后服务方案（包括但不限于：专线售后服务管理方案，专人服务，专人跟踪、售后服务时间安排、其它服务承诺）进行评审：</w:t>
            </w:r>
          </w:p>
          <w:p w14:paraId="128E4E08">
            <w:pPr>
              <w:pStyle w:val="16"/>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1、售后服务方案科学完整，服务承诺完全满足招标文件要求，</w:t>
            </w:r>
            <w:r>
              <w:rPr>
                <w:rFonts w:hint="eastAsia" w:ascii="仿宋" w:hAnsi="仿宋" w:eastAsia="仿宋" w:cs="仿宋"/>
                <w:color w:val="auto"/>
                <w:sz w:val="28"/>
                <w:szCs w:val="28"/>
                <w:highlight w:val="none"/>
                <w:lang w:val="en-US" w:eastAsia="zh-CN"/>
              </w:rPr>
              <w:t>售后服务人员充足、同类项目经验丰富</w:t>
            </w:r>
            <w:r>
              <w:rPr>
                <w:rFonts w:hint="eastAsia" w:ascii="仿宋" w:hAnsi="仿宋" w:eastAsia="仿宋" w:cs="仿宋"/>
                <w:color w:val="auto"/>
                <w:sz w:val="28"/>
                <w:szCs w:val="28"/>
                <w:highlight w:val="none"/>
              </w:rPr>
              <w:t>，售后服务点技术力量十分雄厚的，得</w:t>
            </w:r>
            <w:r>
              <w:rPr>
                <w:rFonts w:hint="eastAsia" w:ascii="仿宋" w:hAnsi="仿宋" w:eastAsia="仿宋" w:cs="仿宋"/>
                <w:color w:val="auto"/>
                <w:sz w:val="28"/>
                <w:szCs w:val="28"/>
                <w:highlight w:val="none"/>
                <w:lang w:val="en-US" w:eastAsia="zh-CN"/>
              </w:rPr>
              <w:t>8</w:t>
            </w:r>
            <w:r>
              <w:rPr>
                <w:rFonts w:hint="eastAsia" w:ascii="仿宋" w:hAnsi="仿宋" w:eastAsia="仿宋" w:cs="仿宋"/>
                <w:color w:val="auto"/>
                <w:sz w:val="28"/>
                <w:szCs w:val="28"/>
                <w:highlight w:val="none"/>
              </w:rPr>
              <w:t>分；</w:t>
            </w:r>
          </w:p>
          <w:p w14:paraId="0AAD4B32">
            <w:pPr>
              <w:pStyle w:val="16"/>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2、售后服务方案比较完整，服务承诺符合招标文件要求的，</w:t>
            </w:r>
            <w:r>
              <w:rPr>
                <w:rFonts w:hint="eastAsia" w:ascii="仿宋" w:hAnsi="仿宋" w:eastAsia="仿宋" w:cs="仿宋"/>
                <w:color w:val="auto"/>
                <w:sz w:val="28"/>
                <w:szCs w:val="28"/>
                <w:highlight w:val="none"/>
                <w:lang w:val="en-US" w:eastAsia="zh-CN"/>
              </w:rPr>
              <w:t>售后服务人员较为充足、有一定同类项目经验</w:t>
            </w:r>
            <w:r>
              <w:rPr>
                <w:rFonts w:hint="eastAsia" w:ascii="仿宋" w:hAnsi="仿宋" w:eastAsia="仿宋" w:cs="仿宋"/>
                <w:color w:val="auto"/>
                <w:sz w:val="28"/>
                <w:szCs w:val="28"/>
                <w:highlight w:val="none"/>
              </w:rPr>
              <w:t>，售后服务点技术力量雄厚的，得</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分；</w:t>
            </w:r>
          </w:p>
          <w:p w14:paraId="6896CB52">
            <w:pPr>
              <w:pStyle w:val="16"/>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3、售后服务方案基本完整，服务承诺基本满足招标文件要求的，</w:t>
            </w:r>
            <w:r>
              <w:rPr>
                <w:rFonts w:hint="eastAsia" w:ascii="仿宋" w:hAnsi="仿宋" w:eastAsia="仿宋" w:cs="仿宋"/>
                <w:color w:val="auto"/>
                <w:sz w:val="28"/>
                <w:szCs w:val="28"/>
                <w:highlight w:val="none"/>
                <w:lang w:val="en-US" w:eastAsia="zh-CN"/>
              </w:rPr>
              <w:t>售后服务人员有一定同类项目经验</w:t>
            </w:r>
            <w:r>
              <w:rPr>
                <w:rFonts w:hint="eastAsia" w:ascii="仿宋" w:hAnsi="仿宋" w:eastAsia="仿宋" w:cs="仿宋"/>
                <w:color w:val="auto"/>
                <w:sz w:val="28"/>
                <w:szCs w:val="28"/>
                <w:highlight w:val="none"/>
              </w:rPr>
              <w:t>，售后服务点技术力量较一般，得</w:t>
            </w:r>
            <w:r>
              <w:rPr>
                <w:rFonts w:hint="eastAsia" w:ascii="仿宋" w:hAnsi="仿宋" w:eastAsia="仿宋" w:cs="仿宋"/>
                <w:color w:val="auto"/>
                <w:sz w:val="28"/>
                <w:szCs w:val="28"/>
                <w:highlight w:val="none"/>
                <w:lang w:val="en-US" w:eastAsia="zh-CN"/>
              </w:rPr>
              <w:t>3</w:t>
            </w:r>
            <w:r>
              <w:rPr>
                <w:rFonts w:hint="eastAsia" w:ascii="仿宋" w:hAnsi="仿宋" w:eastAsia="仿宋" w:cs="仿宋"/>
                <w:color w:val="auto"/>
                <w:sz w:val="28"/>
                <w:szCs w:val="28"/>
                <w:highlight w:val="none"/>
              </w:rPr>
              <w:t>分；</w:t>
            </w:r>
          </w:p>
          <w:p w14:paraId="2846742B">
            <w:pPr>
              <w:pStyle w:val="16"/>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4、售后服务方案简略，</w:t>
            </w:r>
            <w:r>
              <w:rPr>
                <w:rFonts w:hint="eastAsia" w:ascii="仿宋" w:hAnsi="仿宋" w:eastAsia="仿宋" w:cs="仿宋"/>
                <w:color w:val="auto"/>
                <w:sz w:val="28"/>
                <w:szCs w:val="28"/>
                <w:highlight w:val="none"/>
                <w:lang w:val="en-US" w:eastAsia="zh-CN"/>
              </w:rPr>
              <w:t>售后服务人员经验不足</w:t>
            </w:r>
            <w:r>
              <w:rPr>
                <w:rFonts w:hint="eastAsia" w:ascii="仿宋" w:hAnsi="仿宋" w:eastAsia="仿宋" w:cs="仿宋"/>
                <w:color w:val="auto"/>
                <w:sz w:val="28"/>
                <w:szCs w:val="28"/>
                <w:highlight w:val="none"/>
              </w:rPr>
              <w:t>，售后服务点技术力量弱的，得1分；</w:t>
            </w:r>
          </w:p>
          <w:p w14:paraId="3F0FE415">
            <w:pPr>
              <w:pStyle w:val="16"/>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kern w:val="2"/>
                <w:sz w:val="28"/>
                <w:szCs w:val="28"/>
                <w:highlight w:val="none"/>
                <w:lang w:val="zh-CN" w:eastAsia="zh-CN" w:bidi="zh-CN"/>
              </w:rPr>
            </w:pPr>
            <w:r>
              <w:rPr>
                <w:rFonts w:hint="eastAsia" w:ascii="仿宋" w:hAnsi="仿宋" w:eastAsia="仿宋" w:cs="仿宋"/>
                <w:color w:val="auto"/>
                <w:sz w:val="28"/>
                <w:szCs w:val="28"/>
                <w:highlight w:val="none"/>
              </w:rPr>
              <w:t>5、未提供相关方案的，得0分。</w:t>
            </w:r>
          </w:p>
        </w:tc>
      </w:tr>
      <w:tr w14:paraId="522279C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0" w:hRule="atLeast"/>
          <w:jc w:val="center"/>
        </w:trPr>
        <w:tc>
          <w:tcPr>
            <w:tcW w:w="459" w:type="pct"/>
            <w:vMerge w:val="continue"/>
            <w:vAlign w:val="center"/>
          </w:tcPr>
          <w:p w14:paraId="26BD0781">
            <w:pPr>
              <w:keepNext w:val="0"/>
              <w:keepLines w:val="0"/>
              <w:pageBreakBefore w:val="0"/>
              <w:kinsoku/>
              <w:wordWrap/>
              <w:overflowPunct/>
              <w:topLinePunct w:val="0"/>
              <w:autoSpaceDE/>
              <w:autoSpaceDN/>
              <w:bidi w:val="0"/>
              <w:adjustRightInd/>
              <w:snapToGrid/>
              <w:jc w:val="center"/>
              <w:textAlignment w:val="auto"/>
              <w:rPr>
                <w:rFonts w:hint="eastAsia" w:ascii="仿宋" w:hAnsi="仿宋" w:eastAsia="仿宋" w:cs="仿宋"/>
                <w:color w:val="auto"/>
                <w:sz w:val="28"/>
                <w:szCs w:val="28"/>
                <w:highlight w:val="none"/>
              </w:rPr>
            </w:pPr>
          </w:p>
        </w:tc>
        <w:tc>
          <w:tcPr>
            <w:tcW w:w="575" w:type="pct"/>
            <w:tcBorders>
              <w:top w:val="single" w:color="000000" w:sz="6" w:space="0"/>
              <w:bottom w:val="single" w:color="000000" w:sz="6" w:space="0"/>
            </w:tcBorders>
            <w:vAlign w:val="center"/>
          </w:tcPr>
          <w:p w14:paraId="6B5D4DEA">
            <w:pPr>
              <w:pStyle w:val="16"/>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规章和管理制度</w:t>
            </w:r>
          </w:p>
          <w:p w14:paraId="02A0705A">
            <w:pPr>
              <w:pStyle w:val="16"/>
              <w:jc w:val="center"/>
              <w:rPr>
                <w:rFonts w:hint="eastAsia" w:ascii="仿宋" w:hAnsi="仿宋" w:eastAsia="仿宋" w:cs="仿宋"/>
                <w:color w:val="auto"/>
                <w:w w:val="101"/>
                <w:sz w:val="28"/>
                <w:szCs w:val="28"/>
                <w:highlight w:val="none"/>
              </w:rPr>
            </w:pP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8</w:t>
            </w:r>
            <w:r>
              <w:rPr>
                <w:rFonts w:hint="eastAsia" w:ascii="仿宋" w:hAnsi="仿宋" w:eastAsia="仿宋" w:cs="仿宋"/>
                <w:color w:val="auto"/>
                <w:sz w:val="28"/>
                <w:szCs w:val="28"/>
                <w:highlight w:val="none"/>
              </w:rPr>
              <w:t>.0分)</w:t>
            </w:r>
          </w:p>
        </w:tc>
        <w:tc>
          <w:tcPr>
            <w:tcW w:w="3964" w:type="pct"/>
            <w:tcBorders>
              <w:top w:val="single" w:color="000000" w:sz="6" w:space="0"/>
              <w:bottom w:val="single" w:color="000000" w:sz="6" w:space="0"/>
            </w:tcBorders>
            <w:vAlign w:val="top"/>
          </w:tcPr>
          <w:p w14:paraId="3B5A924C">
            <w:pPr>
              <w:pStyle w:val="16"/>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根据投标人提供的规章和管理制度（包括但不限于：服务标准、泄密管理、仪容仪表规范及人员奖惩制度等）进行评审：</w:t>
            </w:r>
          </w:p>
          <w:p w14:paraId="32188057">
            <w:pPr>
              <w:pStyle w:val="16"/>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1、服务标准清晰明确且可行性强，泄密管理制度合法有效，对服务人员仪容仪表有具体的要求和考核方法，对服务人员服务表现制定了成熟完整的奖惩制度，能完全满足本项目采购需求要求的，得</w:t>
            </w:r>
            <w:r>
              <w:rPr>
                <w:rFonts w:hint="eastAsia" w:ascii="仿宋" w:hAnsi="仿宋" w:eastAsia="仿宋" w:cs="仿宋"/>
                <w:color w:val="auto"/>
                <w:sz w:val="28"/>
                <w:szCs w:val="28"/>
                <w:highlight w:val="none"/>
                <w:lang w:val="en-US" w:eastAsia="zh-CN"/>
              </w:rPr>
              <w:t>8</w:t>
            </w:r>
            <w:r>
              <w:rPr>
                <w:rFonts w:hint="eastAsia" w:ascii="仿宋" w:hAnsi="仿宋" w:eastAsia="仿宋" w:cs="仿宋"/>
                <w:color w:val="auto"/>
                <w:sz w:val="28"/>
                <w:szCs w:val="28"/>
                <w:highlight w:val="none"/>
              </w:rPr>
              <w:t>分；</w:t>
            </w:r>
          </w:p>
          <w:p w14:paraId="64038D9E">
            <w:pPr>
              <w:pStyle w:val="16"/>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2、服务标准清晰明确且较为可行，泄密管理制度合法，对服务人员仪容仪表有具体的要求，对服务人员服务表现制定了完整的奖惩制度，能满足本项目采购需求要求的，得</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分；</w:t>
            </w:r>
          </w:p>
          <w:p w14:paraId="34CFAD8D">
            <w:pPr>
              <w:pStyle w:val="16"/>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3、服务标准基本可行，泄密管理制度合法，对服务人员仪容仪表有一定的要求，对服务人员服务表现制定了部分奖惩制度，基本能满足本项目采购需求要求的，得</w:t>
            </w:r>
            <w:r>
              <w:rPr>
                <w:rFonts w:hint="eastAsia" w:ascii="仿宋" w:hAnsi="仿宋" w:eastAsia="仿宋" w:cs="仿宋"/>
                <w:color w:val="auto"/>
                <w:sz w:val="28"/>
                <w:szCs w:val="28"/>
                <w:highlight w:val="none"/>
                <w:lang w:val="en-US" w:eastAsia="zh-CN"/>
              </w:rPr>
              <w:t>3</w:t>
            </w:r>
            <w:r>
              <w:rPr>
                <w:rFonts w:hint="eastAsia" w:ascii="仿宋" w:hAnsi="仿宋" w:eastAsia="仿宋" w:cs="仿宋"/>
                <w:color w:val="auto"/>
                <w:sz w:val="28"/>
                <w:szCs w:val="28"/>
                <w:highlight w:val="none"/>
              </w:rPr>
              <w:t>分；</w:t>
            </w:r>
          </w:p>
          <w:p w14:paraId="53BB803B">
            <w:pPr>
              <w:pStyle w:val="16"/>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4、服务标准难以执行，泄密管理制度合法，对服务人员仪容仪表要求不合理，对服务人员服务表现没有制定奖惩制度，难以能满足本项目采购需求要求的，得1分；</w:t>
            </w:r>
          </w:p>
          <w:p w14:paraId="1CFC73D4">
            <w:pPr>
              <w:pStyle w:val="16"/>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5、未提供相关制度的，得0分。</w:t>
            </w:r>
          </w:p>
        </w:tc>
      </w:tr>
      <w:tr w14:paraId="14E29A6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914" w:hRule="atLeast"/>
          <w:jc w:val="center"/>
        </w:trPr>
        <w:tc>
          <w:tcPr>
            <w:tcW w:w="459" w:type="pct"/>
            <w:vMerge w:val="continue"/>
            <w:vAlign w:val="center"/>
          </w:tcPr>
          <w:p w14:paraId="18D34E49">
            <w:pPr>
              <w:keepNext w:val="0"/>
              <w:keepLines w:val="0"/>
              <w:pageBreakBefore w:val="0"/>
              <w:kinsoku/>
              <w:wordWrap/>
              <w:overflowPunct/>
              <w:topLinePunct w:val="0"/>
              <w:autoSpaceDE/>
              <w:autoSpaceDN/>
              <w:bidi w:val="0"/>
              <w:adjustRightInd/>
              <w:snapToGrid/>
              <w:jc w:val="center"/>
              <w:textAlignment w:val="auto"/>
              <w:rPr>
                <w:rFonts w:hint="eastAsia" w:ascii="仿宋" w:hAnsi="仿宋" w:eastAsia="仿宋" w:cs="仿宋"/>
                <w:color w:val="auto"/>
                <w:sz w:val="28"/>
                <w:szCs w:val="28"/>
                <w:highlight w:val="none"/>
              </w:rPr>
            </w:pPr>
          </w:p>
        </w:tc>
        <w:tc>
          <w:tcPr>
            <w:tcW w:w="575" w:type="pct"/>
            <w:tcBorders>
              <w:top w:val="single" w:color="000000" w:sz="6" w:space="0"/>
              <w:bottom w:val="single" w:color="000000" w:sz="6" w:space="0"/>
            </w:tcBorders>
            <w:vAlign w:val="center"/>
          </w:tcPr>
          <w:p w14:paraId="2FD50509">
            <w:pPr>
              <w:pStyle w:val="16"/>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应急处置措施</w:t>
            </w:r>
          </w:p>
          <w:p w14:paraId="32B453B1">
            <w:pPr>
              <w:pStyle w:val="16"/>
              <w:jc w:val="center"/>
              <w:rPr>
                <w:rFonts w:hint="eastAsia" w:ascii="仿宋" w:hAnsi="仿宋" w:eastAsia="仿宋" w:cs="仿宋"/>
                <w:color w:val="auto"/>
                <w:w w:val="101"/>
                <w:sz w:val="28"/>
                <w:szCs w:val="28"/>
                <w:highlight w:val="none"/>
              </w:rPr>
            </w:pP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8</w:t>
            </w:r>
            <w:r>
              <w:rPr>
                <w:rFonts w:hint="eastAsia" w:ascii="仿宋" w:hAnsi="仿宋" w:eastAsia="仿宋" w:cs="仿宋"/>
                <w:color w:val="auto"/>
                <w:sz w:val="28"/>
                <w:szCs w:val="28"/>
                <w:highlight w:val="none"/>
              </w:rPr>
              <w:t>.0分)</w:t>
            </w:r>
          </w:p>
        </w:tc>
        <w:tc>
          <w:tcPr>
            <w:tcW w:w="3964" w:type="pct"/>
            <w:tcBorders>
              <w:top w:val="single" w:color="000000" w:sz="6" w:space="0"/>
              <w:bottom w:val="single" w:color="000000" w:sz="6" w:space="0"/>
            </w:tcBorders>
            <w:vAlign w:val="top"/>
          </w:tcPr>
          <w:p w14:paraId="79751E6D">
            <w:pPr>
              <w:pStyle w:val="16"/>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根据投标人针对食材仓储、分拣、配送中可能出现的突发情况（包括但不限于：突发停电、台风、暴雨、火灾等导致的仓储、分拣、配送困难或食材短缺；突发车辆故障、交通事故、临时封路等导致的配送困难等情形）制定的应急处置措施进行评审：</w:t>
            </w:r>
          </w:p>
          <w:p w14:paraId="5EF64FF6">
            <w:pPr>
              <w:pStyle w:val="16"/>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1、投标人对仓储、分拣、配送中可能出现的突发情况考虑全面、与本项目采购需求契合且具有针对性，提供的应急处置措施科学详尽、可行性强，能完全消除各类突发情况对履约的负面影响的，得</w:t>
            </w:r>
            <w:r>
              <w:rPr>
                <w:rFonts w:hint="eastAsia" w:ascii="仿宋" w:hAnsi="仿宋" w:eastAsia="仿宋" w:cs="仿宋"/>
                <w:color w:val="auto"/>
                <w:sz w:val="28"/>
                <w:szCs w:val="28"/>
                <w:highlight w:val="none"/>
                <w:lang w:val="en-US" w:eastAsia="zh-CN"/>
              </w:rPr>
              <w:t>8</w:t>
            </w:r>
            <w:r>
              <w:rPr>
                <w:rFonts w:hint="eastAsia" w:ascii="仿宋" w:hAnsi="仿宋" w:eastAsia="仿宋" w:cs="仿宋"/>
                <w:color w:val="auto"/>
                <w:sz w:val="28"/>
                <w:szCs w:val="28"/>
                <w:highlight w:val="none"/>
              </w:rPr>
              <w:t>分；</w:t>
            </w:r>
          </w:p>
          <w:p w14:paraId="358AD7B1">
            <w:pPr>
              <w:pStyle w:val="16"/>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2、投标人对仓储、分拣、配送中可能出现的突发情况考虑较为全面、与本项目采购需求契合，提供的应急处置措施完整且可行性较强，能基本消除各类突发情况对履约的负面影响的，得</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分；</w:t>
            </w:r>
          </w:p>
          <w:p w14:paraId="18C72DD5">
            <w:pPr>
              <w:pStyle w:val="16"/>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3、投标人对仓储、分拣、配送中可能出现的突发情况考虑一般，提供的应急处置措施有一定可行性，能消除部分各类突发情况对履约的负面影响的，得</w:t>
            </w:r>
            <w:r>
              <w:rPr>
                <w:rFonts w:hint="eastAsia" w:ascii="仿宋" w:hAnsi="仿宋" w:eastAsia="仿宋" w:cs="仿宋"/>
                <w:color w:val="auto"/>
                <w:sz w:val="28"/>
                <w:szCs w:val="28"/>
                <w:highlight w:val="none"/>
                <w:lang w:val="en-US" w:eastAsia="zh-CN"/>
              </w:rPr>
              <w:t>3</w:t>
            </w:r>
            <w:r>
              <w:rPr>
                <w:rFonts w:hint="eastAsia" w:ascii="仿宋" w:hAnsi="仿宋" w:eastAsia="仿宋" w:cs="仿宋"/>
                <w:color w:val="auto"/>
                <w:sz w:val="28"/>
                <w:szCs w:val="28"/>
                <w:highlight w:val="none"/>
              </w:rPr>
              <w:t>分；</w:t>
            </w:r>
          </w:p>
          <w:p w14:paraId="366D6819">
            <w:pPr>
              <w:pStyle w:val="16"/>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4、投标人对仓储、分拣、配送中可能出现的突发情况考虑不足，提供的应急处置措施不够可行，几乎不能消除各类突发情况对履约的负面影响的，得1分；</w:t>
            </w:r>
          </w:p>
          <w:p w14:paraId="14C6D7DC">
            <w:pPr>
              <w:pStyle w:val="16"/>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5、未提供相关措施的，得0分。</w:t>
            </w:r>
          </w:p>
        </w:tc>
      </w:tr>
      <w:tr w14:paraId="2A9F0B1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0" w:hRule="atLeast"/>
          <w:jc w:val="center"/>
        </w:trPr>
        <w:tc>
          <w:tcPr>
            <w:tcW w:w="459" w:type="pct"/>
            <w:vMerge w:val="restart"/>
            <w:tcBorders>
              <w:top w:val="single" w:color="000000" w:sz="6" w:space="0"/>
            </w:tcBorders>
            <w:vAlign w:val="center"/>
          </w:tcPr>
          <w:p w14:paraId="556A599C">
            <w:pPr>
              <w:keepNext w:val="0"/>
              <w:keepLines w:val="0"/>
              <w:pageBreakBefore w:val="0"/>
              <w:kinsoku/>
              <w:wordWrap/>
              <w:overflowPunct/>
              <w:topLinePunct w:val="0"/>
              <w:autoSpaceDE/>
              <w:autoSpaceDN/>
              <w:bidi w:val="0"/>
              <w:adjustRightInd/>
              <w:snapToGrid/>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商务部分</w:t>
            </w:r>
          </w:p>
        </w:tc>
        <w:tc>
          <w:tcPr>
            <w:tcW w:w="575" w:type="pct"/>
            <w:tcBorders>
              <w:top w:val="single" w:color="000000" w:sz="6" w:space="0"/>
            </w:tcBorders>
            <w:vAlign w:val="center"/>
          </w:tcPr>
          <w:p w14:paraId="596CCE70">
            <w:pPr>
              <w:keepNext w:val="0"/>
              <w:keepLines w:val="0"/>
              <w:pageBreakBefore w:val="0"/>
              <w:kinsoku/>
              <w:wordWrap/>
              <w:overflowPunct/>
              <w:topLinePunct w:val="0"/>
              <w:autoSpaceDE/>
              <w:autoSpaceDN/>
              <w:bidi w:val="0"/>
              <w:adjustRightInd/>
              <w:snapToGrid/>
              <w:jc w:val="center"/>
              <w:textAlignment w:val="auto"/>
              <w:rPr>
                <w:rFonts w:hint="eastAsia" w:ascii="仿宋" w:hAnsi="仿宋" w:eastAsia="仿宋" w:cs="仿宋"/>
                <w:color w:val="auto"/>
                <w:kern w:val="2"/>
                <w:sz w:val="28"/>
                <w:szCs w:val="28"/>
                <w:highlight w:val="none"/>
                <w:lang w:val="zh-CN" w:eastAsia="zh-CN" w:bidi="zh-CN"/>
              </w:rPr>
            </w:pPr>
            <w:r>
              <w:rPr>
                <w:rFonts w:hint="eastAsia" w:ascii="仿宋" w:hAnsi="仿宋" w:eastAsia="仿宋" w:cs="仿宋"/>
                <w:color w:val="auto"/>
                <w:kern w:val="2"/>
                <w:sz w:val="28"/>
                <w:szCs w:val="28"/>
                <w:highlight w:val="none"/>
                <w:lang w:val="zh-CN" w:eastAsia="zh-CN" w:bidi="zh-CN"/>
              </w:rPr>
              <w:t>相关业绩</w:t>
            </w:r>
          </w:p>
          <w:p w14:paraId="025D6CB0">
            <w:pPr>
              <w:keepNext w:val="0"/>
              <w:keepLines w:val="0"/>
              <w:pageBreakBefore w:val="0"/>
              <w:kinsoku/>
              <w:wordWrap/>
              <w:overflowPunct/>
              <w:topLinePunct w:val="0"/>
              <w:autoSpaceDE/>
              <w:autoSpaceDN/>
              <w:bidi w:val="0"/>
              <w:adjustRightInd/>
              <w:snapToGrid/>
              <w:jc w:val="center"/>
              <w:textAlignment w:val="auto"/>
              <w:rPr>
                <w:rFonts w:hint="eastAsia" w:ascii="仿宋" w:hAnsi="仿宋" w:eastAsia="仿宋" w:cs="仿宋"/>
                <w:color w:val="auto"/>
                <w:kern w:val="2"/>
                <w:sz w:val="28"/>
                <w:szCs w:val="28"/>
                <w:highlight w:val="none"/>
                <w:lang w:val="zh-CN" w:eastAsia="zh-CN" w:bidi="zh-CN"/>
              </w:rPr>
            </w:pPr>
            <w:r>
              <w:rPr>
                <w:rFonts w:hint="eastAsia" w:ascii="仿宋" w:hAnsi="仿宋" w:eastAsia="仿宋" w:cs="仿宋"/>
                <w:color w:val="auto"/>
                <w:kern w:val="2"/>
                <w:sz w:val="28"/>
                <w:szCs w:val="28"/>
                <w:highlight w:val="none"/>
                <w:lang w:val="zh-CN" w:eastAsia="zh-CN" w:bidi="zh-CN"/>
              </w:rPr>
              <w:t>(</w:t>
            </w:r>
            <w:r>
              <w:rPr>
                <w:rFonts w:hint="eastAsia" w:ascii="仿宋" w:hAnsi="仿宋" w:eastAsia="仿宋" w:cs="仿宋"/>
                <w:color w:val="auto"/>
                <w:kern w:val="2"/>
                <w:sz w:val="28"/>
                <w:szCs w:val="28"/>
                <w:highlight w:val="none"/>
                <w:lang w:val="en-US" w:eastAsia="zh-CN" w:bidi="zh-CN"/>
              </w:rPr>
              <w:t>10</w:t>
            </w:r>
            <w:r>
              <w:rPr>
                <w:rFonts w:hint="eastAsia" w:ascii="仿宋" w:hAnsi="仿宋" w:eastAsia="仿宋" w:cs="仿宋"/>
                <w:color w:val="auto"/>
                <w:kern w:val="2"/>
                <w:sz w:val="28"/>
                <w:szCs w:val="28"/>
                <w:highlight w:val="none"/>
                <w:lang w:val="zh-CN" w:eastAsia="zh-CN" w:bidi="zh-CN"/>
              </w:rPr>
              <w:t>.0分)</w:t>
            </w:r>
          </w:p>
        </w:tc>
        <w:tc>
          <w:tcPr>
            <w:tcW w:w="3964" w:type="pct"/>
            <w:tcBorders>
              <w:top w:val="single" w:color="000000" w:sz="6" w:space="0"/>
              <w:bottom w:val="single" w:color="000000" w:sz="6" w:space="0"/>
            </w:tcBorders>
            <w:vAlign w:val="top"/>
          </w:tcPr>
          <w:p w14:paraId="0418084D">
            <w:pPr>
              <w:keepNext w:val="0"/>
              <w:keepLines w:val="0"/>
              <w:pageBreakBefore w:val="0"/>
              <w:widowControl w:val="0"/>
              <w:kinsoku/>
              <w:wordWrap/>
              <w:overflowPunct/>
              <w:topLinePunct w:val="0"/>
              <w:autoSpaceDE/>
              <w:autoSpaceDN/>
              <w:bidi w:val="0"/>
              <w:adjustRightInd/>
              <w:snapToGrid/>
              <w:spacing w:line="360" w:lineRule="auto"/>
              <w:ind w:left="0" w:right="0"/>
              <w:jc w:val="left"/>
              <w:textAlignment w:val="auto"/>
              <w:rPr>
                <w:rFonts w:hint="eastAsia" w:ascii="仿宋" w:hAnsi="仿宋" w:eastAsia="仿宋" w:cs="仿宋"/>
                <w:color w:val="auto"/>
                <w:kern w:val="2"/>
                <w:sz w:val="28"/>
                <w:szCs w:val="28"/>
                <w:highlight w:val="none"/>
                <w:lang w:val="zh-CN" w:eastAsia="zh-CN" w:bidi="zh-CN"/>
              </w:rPr>
            </w:pPr>
            <w:r>
              <w:rPr>
                <w:rFonts w:hint="eastAsia" w:ascii="仿宋" w:hAnsi="仿宋" w:eastAsia="仿宋" w:cs="仿宋"/>
                <w:color w:val="auto"/>
                <w:kern w:val="2"/>
                <w:sz w:val="28"/>
                <w:szCs w:val="28"/>
                <w:highlight w:val="none"/>
                <w:lang w:val="zh-CN" w:eastAsia="zh-CN" w:bidi="zh-CN"/>
              </w:rPr>
              <w:t>根据投标人具有的食材配送类项目业绩进行评审：每提供一个得</w:t>
            </w:r>
            <w:r>
              <w:rPr>
                <w:rFonts w:hint="eastAsia" w:ascii="仿宋" w:hAnsi="仿宋" w:eastAsia="仿宋" w:cs="仿宋"/>
                <w:color w:val="auto"/>
                <w:kern w:val="2"/>
                <w:sz w:val="28"/>
                <w:szCs w:val="28"/>
                <w:highlight w:val="none"/>
                <w:lang w:val="en-US" w:eastAsia="zh-CN" w:bidi="zh-CN"/>
              </w:rPr>
              <w:t>1</w:t>
            </w:r>
            <w:r>
              <w:rPr>
                <w:rFonts w:hint="eastAsia" w:ascii="仿宋" w:hAnsi="仿宋" w:eastAsia="仿宋" w:cs="仿宋"/>
                <w:color w:val="auto"/>
                <w:kern w:val="2"/>
                <w:sz w:val="28"/>
                <w:szCs w:val="28"/>
                <w:highlight w:val="none"/>
                <w:lang w:val="zh-CN" w:eastAsia="zh-CN" w:bidi="zh-CN"/>
              </w:rPr>
              <w:t>分，本项最高得</w:t>
            </w:r>
            <w:r>
              <w:rPr>
                <w:rFonts w:hint="eastAsia" w:ascii="仿宋" w:hAnsi="仿宋" w:eastAsia="仿宋" w:cs="仿宋"/>
                <w:color w:val="auto"/>
                <w:kern w:val="2"/>
                <w:sz w:val="28"/>
                <w:szCs w:val="28"/>
                <w:highlight w:val="none"/>
                <w:lang w:val="en-US" w:eastAsia="zh-CN" w:bidi="zh-CN"/>
              </w:rPr>
              <w:t>10</w:t>
            </w:r>
            <w:r>
              <w:rPr>
                <w:rFonts w:hint="eastAsia" w:ascii="仿宋" w:hAnsi="仿宋" w:eastAsia="仿宋" w:cs="仿宋"/>
                <w:color w:val="auto"/>
                <w:kern w:val="2"/>
                <w:sz w:val="28"/>
                <w:szCs w:val="28"/>
                <w:highlight w:val="none"/>
                <w:lang w:val="zh-CN" w:eastAsia="zh-CN" w:bidi="zh-CN"/>
              </w:rPr>
              <w:t>分。</w:t>
            </w:r>
          </w:p>
          <w:p w14:paraId="2F1D8F99">
            <w:pPr>
              <w:keepNext w:val="0"/>
              <w:keepLines w:val="0"/>
              <w:pageBreakBefore w:val="0"/>
              <w:widowControl w:val="0"/>
              <w:kinsoku/>
              <w:wordWrap/>
              <w:overflowPunct/>
              <w:topLinePunct w:val="0"/>
              <w:autoSpaceDE/>
              <w:autoSpaceDN/>
              <w:bidi w:val="0"/>
              <w:adjustRightInd/>
              <w:snapToGrid/>
              <w:spacing w:line="360" w:lineRule="auto"/>
              <w:ind w:left="0" w:right="0"/>
              <w:jc w:val="left"/>
              <w:textAlignment w:val="auto"/>
              <w:rPr>
                <w:rFonts w:hint="eastAsia" w:ascii="仿宋" w:hAnsi="仿宋" w:eastAsia="仿宋" w:cs="仿宋"/>
                <w:color w:val="auto"/>
                <w:kern w:val="2"/>
                <w:sz w:val="28"/>
                <w:szCs w:val="28"/>
                <w:highlight w:val="none"/>
                <w:lang w:val="zh-CN" w:eastAsia="zh-CN" w:bidi="zh-CN"/>
              </w:rPr>
            </w:pPr>
            <w:r>
              <w:rPr>
                <w:rFonts w:hint="eastAsia" w:ascii="仿宋" w:hAnsi="仿宋" w:eastAsia="仿宋" w:cs="仿宋"/>
                <w:color w:val="auto"/>
                <w:kern w:val="2"/>
                <w:sz w:val="28"/>
                <w:szCs w:val="28"/>
                <w:highlight w:val="none"/>
                <w:lang w:val="zh-CN" w:eastAsia="zh-CN" w:bidi="zh-CN"/>
              </w:rPr>
              <w:t>注：须提供业绩合同</w:t>
            </w:r>
            <w:r>
              <w:rPr>
                <w:rFonts w:hint="eastAsia" w:ascii="仿宋" w:hAnsi="仿宋" w:eastAsia="仿宋" w:cs="仿宋"/>
                <w:color w:val="auto"/>
                <w:kern w:val="2"/>
                <w:sz w:val="28"/>
                <w:szCs w:val="28"/>
                <w:highlight w:val="none"/>
                <w:lang w:val="en-US" w:eastAsia="zh-CN" w:bidi="zh-CN"/>
              </w:rPr>
              <w:t>并加盖投标人公章</w:t>
            </w:r>
            <w:r>
              <w:rPr>
                <w:rFonts w:hint="eastAsia" w:ascii="仿宋" w:hAnsi="仿宋" w:eastAsia="仿宋" w:cs="仿宋"/>
                <w:color w:val="auto"/>
                <w:kern w:val="2"/>
                <w:sz w:val="28"/>
                <w:szCs w:val="28"/>
                <w:highlight w:val="none"/>
                <w:lang w:val="zh-CN" w:eastAsia="zh-CN" w:bidi="zh-CN"/>
              </w:rPr>
              <w:t>。</w:t>
            </w:r>
          </w:p>
        </w:tc>
      </w:tr>
      <w:tr w14:paraId="23C33A3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0" w:hRule="atLeast"/>
          <w:jc w:val="center"/>
        </w:trPr>
        <w:tc>
          <w:tcPr>
            <w:tcW w:w="459" w:type="pct"/>
            <w:vMerge w:val="continue"/>
            <w:vAlign w:val="center"/>
          </w:tcPr>
          <w:p w14:paraId="320EC8ED">
            <w:pPr>
              <w:keepNext w:val="0"/>
              <w:keepLines w:val="0"/>
              <w:pageBreakBefore w:val="0"/>
              <w:kinsoku/>
              <w:wordWrap/>
              <w:overflowPunct/>
              <w:topLinePunct w:val="0"/>
              <w:autoSpaceDE/>
              <w:autoSpaceDN/>
              <w:bidi w:val="0"/>
              <w:adjustRightInd/>
              <w:snapToGrid/>
              <w:jc w:val="center"/>
              <w:textAlignment w:val="auto"/>
              <w:rPr>
                <w:rFonts w:hint="eastAsia" w:ascii="仿宋" w:hAnsi="仿宋" w:eastAsia="仿宋" w:cs="仿宋"/>
                <w:color w:val="auto"/>
                <w:sz w:val="28"/>
                <w:szCs w:val="28"/>
                <w:highlight w:val="none"/>
              </w:rPr>
            </w:pPr>
          </w:p>
        </w:tc>
        <w:tc>
          <w:tcPr>
            <w:tcW w:w="575" w:type="pct"/>
            <w:tcBorders>
              <w:top w:val="single" w:color="000000" w:sz="6" w:space="0"/>
              <w:bottom w:val="single" w:color="000000" w:sz="6" w:space="0"/>
            </w:tcBorders>
            <w:vAlign w:val="center"/>
          </w:tcPr>
          <w:p w14:paraId="4CA61EEA">
            <w:pPr>
              <w:keepNext w:val="0"/>
              <w:keepLines w:val="0"/>
              <w:pageBreakBefore w:val="0"/>
              <w:kinsoku/>
              <w:wordWrap/>
              <w:overflowPunct/>
              <w:topLinePunct w:val="0"/>
              <w:autoSpaceDE/>
              <w:autoSpaceDN/>
              <w:bidi w:val="0"/>
              <w:adjustRightInd/>
              <w:snapToGrid/>
              <w:jc w:val="center"/>
              <w:textAlignment w:val="auto"/>
              <w:rPr>
                <w:rFonts w:hint="eastAsia" w:ascii="仿宋" w:hAnsi="仿宋" w:eastAsia="仿宋" w:cs="仿宋"/>
                <w:color w:val="auto"/>
                <w:kern w:val="2"/>
                <w:sz w:val="28"/>
                <w:szCs w:val="28"/>
                <w:highlight w:val="none"/>
                <w:lang w:val="zh-CN" w:eastAsia="zh-CN" w:bidi="zh-CN"/>
              </w:rPr>
            </w:pPr>
            <w:r>
              <w:rPr>
                <w:rFonts w:hint="eastAsia" w:ascii="仿宋" w:hAnsi="仿宋" w:eastAsia="仿宋" w:cs="仿宋"/>
                <w:color w:val="auto"/>
                <w:kern w:val="2"/>
                <w:sz w:val="28"/>
                <w:szCs w:val="28"/>
                <w:highlight w:val="none"/>
                <w:lang w:val="zh-CN" w:eastAsia="zh-CN" w:bidi="zh-CN"/>
              </w:rPr>
              <w:t>拟投入配送车辆情况</w:t>
            </w:r>
          </w:p>
          <w:p w14:paraId="40A99FE6">
            <w:pPr>
              <w:keepNext w:val="0"/>
              <w:keepLines w:val="0"/>
              <w:pageBreakBefore w:val="0"/>
              <w:kinsoku/>
              <w:wordWrap/>
              <w:overflowPunct/>
              <w:topLinePunct w:val="0"/>
              <w:autoSpaceDE/>
              <w:autoSpaceDN/>
              <w:bidi w:val="0"/>
              <w:adjustRightInd/>
              <w:snapToGrid/>
              <w:jc w:val="center"/>
              <w:textAlignment w:val="auto"/>
              <w:rPr>
                <w:rFonts w:hint="eastAsia" w:ascii="仿宋" w:hAnsi="仿宋" w:eastAsia="仿宋" w:cs="仿宋"/>
                <w:color w:val="auto"/>
                <w:kern w:val="2"/>
                <w:sz w:val="28"/>
                <w:szCs w:val="28"/>
                <w:highlight w:val="none"/>
                <w:lang w:val="zh-CN" w:eastAsia="zh-CN" w:bidi="zh-CN"/>
              </w:rPr>
            </w:pPr>
            <w:r>
              <w:rPr>
                <w:rFonts w:hint="eastAsia" w:ascii="仿宋" w:hAnsi="仿宋" w:eastAsia="仿宋" w:cs="仿宋"/>
                <w:color w:val="auto"/>
                <w:kern w:val="2"/>
                <w:sz w:val="28"/>
                <w:szCs w:val="28"/>
                <w:highlight w:val="none"/>
                <w:lang w:val="zh-CN" w:eastAsia="zh-CN" w:bidi="zh-CN"/>
              </w:rPr>
              <w:t>（</w:t>
            </w:r>
            <w:r>
              <w:rPr>
                <w:rFonts w:hint="eastAsia" w:ascii="仿宋" w:hAnsi="仿宋" w:eastAsia="仿宋" w:cs="仿宋"/>
                <w:color w:val="auto"/>
                <w:kern w:val="2"/>
                <w:sz w:val="28"/>
                <w:szCs w:val="28"/>
                <w:highlight w:val="none"/>
                <w:lang w:val="en-US" w:eastAsia="zh-CN" w:bidi="zh-CN"/>
              </w:rPr>
              <w:t>5</w:t>
            </w:r>
            <w:r>
              <w:rPr>
                <w:rFonts w:hint="eastAsia" w:ascii="仿宋" w:hAnsi="仿宋" w:eastAsia="仿宋" w:cs="仿宋"/>
                <w:color w:val="auto"/>
                <w:kern w:val="2"/>
                <w:sz w:val="28"/>
                <w:szCs w:val="28"/>
                <w:highlight w:val="none"/>
                <w:lang w:val="zh-CN" w:eastAsia="zh-CN" w:bidi="zh-CN"/>
              </w:rPr>
              <w:t>.0分）</w:t>
            </w:r>
          </w:p>
        </w:tc>
        <w:tc>
          <w:tcPr>
            <w:tcW w:w="3964" w:type="pct"/>
            <w:tcBorders>
              <w:top w:val="single" w:color="000000" w:sz="6" w:space="0"/>
              <w:bottom w:val="single" w:color="000000" w:sz="6" w:space="0"/>
            </w:tcBorders>
            <w:vAlign w:val="top"/>
          </w:tcPr>
          <w:p w14:paraId="4ED028FD">
            <w:pPr>
              <w:keepNext w:val="0"/>
              <w:keepLines w:val="0"/>
              <w:pageBreakBefore w:val="0"/>
              <w:widowControl w:val="0"/>
              <w:kinsoku/>
              <w:wordWrap/>
              <w:overflowPunct/>
              <w:topLinePunct w:val="0"/>
              <w:autoSpaceDE/>
              <w:autoSpaceDN/>
              <w:bidi w:val="0"/>
              <w:adjustRightInd/>
              <w:snapToGrid/>
              <w:spacing w:line="360" w:lineRule="auto"/>
              <w:ind w:left="0" w:right="0"/>
              <w:jc w:val="left"/>
              <w:textAlignment w:val="auto"/>
              <w:rPr>
                <w:rFonts w:hint="eastAsia" w:ascii="仿宋" w:hAnsi="仿宋" w:eastAsia="仿宋" w:cs="仿宋"/>
                <w:color w:val="auto"/>
                <w:kern w:val="2"/>
                <w:sz w:val="28"/>
                <w:szCs w:val="28"/>
                <w:highlight w:val="none"/>
                <w:lang w:val="zh-CN" w:eastAsia="zh-CN" w:bidi="zh-CN"/>
              </w:rPr>
            </w:pPr>
            <w:r>
              <w:rPr>
                <w:rFonts w:hint="eastAsia" w:ascii="仿宋" w:hAnsi="仿宋" w:eastAsia="仿宋" w:cs="仿宋"/>
                <w:color w:val="auto"/>
                <w:kern w:val="2"/>
                <w:sz w:val="28"/>
                <w:szCs w:val="28"/>
                <w:highlight w:val="none"/>
                <w:lang w:val="zh-CN" w:eastAsia="zh-CN" w:bidi="zh-CN"/>
              </w:rPr>
              <w:t>根据投标人拟投入本项目的配送车辆情况进行评审：投标人每提供一辆</w:t>
            </w:r>
            <w:r>
              <w:rPr>
                <w:rFonts w:hint="eastAsia" w:ascii="仿宋" w:hAnsi="仿宋" w:eastAsia="仿宋" w:cs="仿宋"/>
                <w:color w:val="auto"/>
                <w:kern w:val="2"/>
                <w:sz w:val="28"/>
                <w:szCs w:val="28"/>
                <w:highlight w:val="none"/>
                <w:lang w:val="en-US" w:eastAsia="zh-CN" w:bidi="zh-CN"/>
              </w:rPr>
              <w:t>厢式</w:t>
            </w:r>
            <w:r>
              <w:rPr>
                <w:rFonts w:hint="eastAsia" w:ascii="仿宋" w:hAnsi="仿宋" w:eastAsia="仿宋" w:cs="仿宋"/>
                <w:color w:val="auto"/>
                <w:kern w:val="2"/>
                <w:sz w:val="28"/>
                <w:szCs w:val="28"/>
                <w:highlight w:val="none"/>
                <w:lang w:val="zh-CN" w:eastAsia="zh-CN" w:bidi="zh-CN"/>
              </w:rPr>
              <w:t>运输车得</w:t>
            </w:r>
            <w:r>
              <w:rPr>
                <w:rFonts w:hint="eastAsia" w:ascii="仿宋" w:hAnsi="仿宋" w:eastAsia="仿宋" w:cs="仿宋"/>
                <w:color w:val="auto"/>
                <w:kern w:val="2"/>
                <w:sz w:val="28"/>
                <w:szCs w:val="28"/>
                <w:highlight w:val="none"/>
                <w:lang w:val="en-US" w:eastAsia="zh-CN" w:bidi="zh-CN"/>
              </w:rPr>
              <w:t>2.5</w:t>
            </w:r>
            <w:r>
              <w:rPr>
                <w:rFonts w:hint="eastAsia" w:ascii="仿宋" w:hAnsi="仿宋" w:eastAsia="仿宋" w:cs="仿宋"/>
                <w:color w:val="auto"/>
                <w:kern w:val="2"/>
                <w:sz w:val="28"/>
                <w:szCs w:val="28"/>
                <w:highlight w:val="none"/>
                <w:lang w:val="zh-CN" w:eastAsia="zh-CN" w:bidi="zh-CN"/>
              </w:rPr>
              <w:t>分，本项最高得</w:t>
            </w:r>
            <w:r>
              <w:rPr>
                <w:rFonts w:hint="eastAsia" w:ascii="仿宋" w:hAnsi="仿宋" w:eastAsia="仿宋" w:cs="仿宋"/>
                <w:color w:val="auto"/>
                <w:kern w:val="2"/>
                <w:sz w:val="28"/>
                <w:szCs w:val="28"/>
                <w:highlight w:val="none"/>
                <w:lang w:val="en-US" w:eastAsia="zh-CN" w:bidi="zh-CN"/>
              </w:rPr>
              <w:t>5</w:t>
            </w:r>
            <w:r>
              <w:rPr>
                <w:rFonts w:hint="eastAsia" w:ascii="仿宋" w:hAnsi="仿宋" w:eastAsia="仿宋" w:cs="仿宋"/>
                <w:color w:val="auto"/>
                <w:kern w:val="2"/>
                <w:sz w:val="28"/>
                <w:szCs w:val="28"/>
                <w:highlight w:val="none"/>
                <w:lang w:val="zh-CN" w:eastAsia="zh-CN" w:bidi="zh-CN"/>
              </w:rPr>
              <w:t>分。</w:t>
            </w:r>
          </w:p>
          <w:p w14:paraId="0F6DD49B">
            <w:pPr>
              <w:keepNext w:val="0"/>
              <w:keepLines w:val="0"/>
              <w:pageBreakBefore w:val="0"/>
              <w:widowControl w:val="0"/>
              <w:kinsoku/>
              <w:wordWrap/>
              <w:overflowPunct/>
              <w:topLinePunct w:val="0"/>
              <w:autoSpaceDE/>
              <w:autoSpaceDN/>
              <w:bidi w:val="0"/>
              <w:adjustRightInd/>
              <w:snapToGrid/>
              <w:spacing w:line="360" w:lineRule="auto"/>
              <w:ind w:left="0" w:right="0"/>
              <w:jc w:val="left"/>
              <w:textAlignment w:val="auto"/>
              <w:rPr>
                <w:rFonts w:hint="eastAsia" w:ascii="仿宋" w:hAnsi="仿宋" w:eastAsia="仿宋" w:cs="仿宋"/>
                <w:color w:val="auto"/>
                <w:kern w:val="2"/>
                <w:sz w:val="28"/>
                <w:szCs w:val="28"/>
                <w:highlight w:val="none"/>
                <w:lang w:val="zh-CN" w:eastAsia="zh-CN" w:bidi="zh-CN"/>
              </w:rPr>
            </w:pPr>
            <w:r>
              <w:rPr>
                <w:rFonts w:hint="eastAsia" w:ascii="仿宋" w:hAnsi="仿宋" w:eastAsia="仿宋" w:cs="仿宋"/>
                <w:color w:val="auto"/>
                <w:kern w:val="2"/>
                <w:sz w:val="28"/>
                <w:szCs w:val="28"/>
                <w:highlight w:val="none"/>
                <w:lang w:val="zh-CN" w:eastAsia="zh-CN" w:bidi="zh-CN"/>
              </w:rPr>
              <w:t>注：1.车辆为自有的，须提供：①所有人为投标人的车辆行驶证复印件；②购车发票复印件；③车辆照片（照片能清晰体现车牌号）。上述材料均须加盖投标人公章；2.车辆为租赁的，须提供：①车辆行驶证复印件；②车辆照片（照片能清晰体现车牌号）；③承租人为投标人的车辆租赁合同（</w:t>
            </w:r>
            <w:r>
              <w:rPr>
                <w:rFonts w:hint="eastAsia" w:ascii="仿宋" w:hAnsi="仿宋" w:eastAsia="仿宋" w:cs="仿宋"/>
                <w:color w:val="auto"/>
                <w:kern w:val="2"/>
                <w:sz w:val="28"/>
                <w:szCs w:val="28"/>
                <w:highlight w:val="none"/>
                <w:lang w:val="en-US" w:eastAsia="zh-CN" w:bidi="zh-CN"/>
              </w:rPr>
              <w:t>租期需覆盖本项目服务期</w:t>
            </w:r>
            <w:r>
              <w:rPr>
                <w:rFonts w:hint="eastAsia" w:ascii="仿宋" w:hAnsi="仿宋" w:eastAsia="仿宋" w:cs="仿宋"/>
                <w:color w:val="auto"/>
                <w:kern w:val="2"/>
                <w:sz w:val="28"/>
                <w:szCs w:val="28"/>
                <w:highlight w:val="none"/>
                <w:lang w:val="zh-CN" w:eastAsia="zh-CN" w:bidi="zh-CN"/>
              </w:rPr>
              <w:t>）。上述材料均须加盖投标人公章；3.未提供对应材料或提供不全的不得分。</w:t>
            </w:r>
          </w:p>
        </w:tc>
      </w:tr>
      <w:tr w14:paraId="1255C87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0" w:hRule="atLeast"/>
          <w:jc w:val="center"/>
        </w:trPr>
        <w:tc>
          <w:tcPr>
            <w:tcW w:w="459" w:type="pct"/>
            <w:vMerge w:val="continue"/>
            <w:vAlign w:val="center"/>
          </w:tcPr>
          <w:p w14:paraId="22F190B8">
            <w:pPr>
              <w:keepNext w:val="0"/>
              <w:keepLines w:val="0"/>
              <w:pageBreakBefore w:val="0"/>
              <w:kinsoku/>
              <w:wordWrap/>
              <w:overflowPunct/>
              <w:topLinePunct w:val="0"/>
              <w:autoSpaceDE/>
              <w:autoSpaceDN/>
              <w:bidi w:val="0"/>
              <w:adjustRightInd/>
              <w:snapToGrid/>
              <w:jc w:val="center"/>
              <w:textAlignment w:val="auto"/>
              <w:rPr>
                <w:rFonts w:hint="eastAsia" w:ascii="仿宋" w:hAnsi="仿宋" w:eastAsia="仿宋" w:cs="仿宋"/>
                <w:color w:val="auto"/>
                <w:sz w:val="28"/>
                <w:szCs w:val="28"/>
                <w:highlight w:val="none"/>
              </w:rPr>
            </w:pPr>
          </w:p>
        </w:tc>
        <w:tc>
          <w:tcPr>
            <w:tcW w:w="575" w:type="pct"/>
            <w:tcBorders>
              <w:top w:val="single" w:color="000000" w:sz="6" w:space="0"/>
            </w:tcBorders>
            <w:vAlign w:val="center"/>
          </w:tcPr>
          <w:p w14:paraId="7BAFF66A">
            <w:pPr>
              <w:keepNext w:val="0"/>
              <w:keepLines w:val="0"/>
              <w:pageBreakBefore w:val="0"/>
              <w:kinsoku/>
              <w:wordWrap/>
              <w:overflowPunct/>
              <w:topLinePunct w:val="0"/>
              <w:autoSpaceDE/>
              <w:autoSpaceDN/>
              <w:bidi w:val="0"/>
              <w:adjustRightInd/>
              <w:snapToGrid/>
              <w:jc w:val="center"/>
              <w:textAlignment w:val="auto"/>
              <w:rPr>
                <w:rFonts w:hint="default" w:ascii="仿宋" w:hAnsi="仿宋" w:eastAsia="仿宋" w:cs="仿宋"/>
                <w:color w:val="auto"/>
                <w:kern w:val="2"/>
                <w:sz w:val="28"/>
                <w:szCs w:val="28"/>
                <w:highlight w:val="none"/>
                <w:lang w:val="en-US" w:eastAsia="zh-CN" w:bidi="zh-CN"/>
              </w:rPr>
            </w:pPr>
            <w:r>
              <w:rPr>
                <w:rFonts w:hint="eastAsia" w:ascii="仿宋" w:hAnsi="仿宋" w:eastAsia="仿宋" w:cs="仿宋"/>
                <w:color w:val="auto"/>
                <w:kern w:val="2"/>
                <w:sz w:val="28"/>
                <w:szCs w:val="28"/>
                <w:highlight w:val="none"/>
                <w:lang w:val="en-US" w:eastAsia="zh-CN" w:bidi="zh-CN"/>
              </w:rPr>
              <w:t>应急响应承诺</w:t>
            </w:r>
          </w:p>
          <w:p w14:paraId="65DA829D">
            <w:pPr>
              <w:keepNext w:val="0"/>
              <w:keepLines w:val="0"/>
              <w:pageBreakBefore w:val="0"/>
              <w:kinsoku/>
              <w:wordWrap/>
              <w:overflowPunct/>
              <w:topLinePunct w:val="0"/>
              <w:autoSpaceDE/>
              <w:autoSpaceDN/>
              <w:bidi w:val="0"/>
              <w:adjustRightInd/>
              <w:snapToGrid/>
              <w:jc w:val="center"/>
              <w:textAlignment w:val="auto"/>
              <w:rPr>
                <w:rFonts w:hint="eastAsia" w:ascii="仿宋" w:hAnsi="仿宋" w:eastAsia="仿宋" w:cs="仿宋"/>
                <w:color w:val="auto"/>
                <w:kern w:val="2"/>
                <w:sz w:val="28"/>
                <w:szCs w:val="28"/>
                <w:highlight w:val="none"/>
                <w:lang w:val="zh-CN" w:eastAsia="zh-CN" w:bidi="zh-CN"/>
              </w:rPr>
            </w:pPr>
            <w:r>
              <w:rPr>
                <w:rFonts w:hint="eastAsia" w:ascii="仿宋" w:hAnsi="仿宋" w:eastAsia="仿宋" w:cs="仿宋"/>
                <w:color w:val="auto"/>
                <w:kern w:val="2"/>
                <w:sz w:val="28"/>
                <w:szCs w:val="28"/>
                <w:highlight w:val="none"/>
                <w:lang w:val="zh-CN" w:eastAsia="zh-CN" w:bidi="zh-CN"/>
              </w:rPr>
              <w:t>(</w:t>
            </w:r>
            <w:r>
              <w:rPr>
                <w:rFonts w:hint="eastAsia" w:ascii="仿宋" w:hAnsi="仿宋" w:eastAsia="仿宋" w:cs="仿宋"/>
                <w:color w:val="auto"/>
                <w:kern w:val="2"/>
                <w:sz w:val="28"/>
                <w:szCs w:val="28"/>
                <w:highlight w:val="none"/>
                <w:lang w:val="en-US" w:eastAsia="zh-CN" w:bidi="zh-CN"/>
              </w:rPr>
              <w:t>5</w:t>
            </w:r>
            <w:r>
              <w:rPr>
                <w:rFonts w:hint="eastAsia" w:ascii="仿宋" w:hAnsi="仿宋" w:eastAsia="仿宋" w:cs="仿宋"/>
                <w:color w:val="auto"/>
                <w:kern w:val="2"/>
                <w:sz w:val="28"/>
                <w:szCs w:val="28"/>
                <w:highlight w:val="none"/>
                <w:lang w:val="zh-CN" w:eastAsia="zh-CN" w:bidi="zh-CN"/>
              </w:rPr>
              <w:t>.0分)</w:t>
            </w:r>
          </w:p>
        </w:tc>
        <w:tc>
          <w:tcPr>
            <w:tcW w:w="3964" w:type="pct"/>
            <w:tcBorders>
              <w:top w:val="single" w:color="000000" w:sz="6" w:space="0"/>
              <w:bottom w:val="single" w:color="000000" w:sz="6" w:space="0"/>
            </w:tcBorders>
            <w:vAlign w:val="top"/>
          </w:tcPr>
          <w:p w14:paraId="4FE007AE">
            <w:pPr>
              <w:keepNext w:val="0"/>
              <w:keepLines w:val="0"/>
              <w:pageBreakBefore w:val="0"/>
              <w:widowControl w:val="0"/>
              <w:kinsoku/>
              <w:wordWrap/>
              <w:overflowPunct/>
              <w:topLinePunct w:val="0"/>
              <w:autoSpaceDE/>
              <w:autoSpaceDN/>
              <w:bidi w:val="0"/>
              <w:adjustRightInd/>
              <w:snapToGrid/>
              <w:spacing w:line="360" w:lineRule="auto"/>
              <w:ind w:left="0" w:right="0"/>
              <w:jc w:val="left"/>
              <w:textAlignment w:val="auto"/>
              <w:rPr>
                <w:rFonts w:hint="eastAsia" w:ascii="仿宋" w:hAnsi="仿宋" w:eastAsia="仿宋" w:cs="仿宋"/>
                <w:color w:val="auto"/>
                <w:kern w:val="2"/>
                <w:sz w:val="28"/>
                <w:szCs w:val="28"/>
                <w:highlight w:val="none"/>
                <w:lang w:val="zh-CN" w:eastAsia="zh-CN" w:bidi="zh-CN"/>
              </w:rPr>
            </w:pPr>
            <w:r>
              <w:rPr>
                <w:rFonts w:hint="eastAsia" w:ascii="仿宋" w:hAnsi="仿宋" w:eastAsia="仿宋" w:cs="仿宋"/>
                <w:color w:val="auto"/>
                <w:kern w:val="2"/>
                <w:sz w:val="28"/>
                <w:szCs w:val="28"/>
                <w:highlight w:val="none"/>
                <w:lang w:val="zh-CN" w:eastAsia="zh-CN" w:bidi="zh-CN"/>
              </w:rPr>
              <w:t>根据投标人提供的应急服务响应承诺进行评审：</w:t>
            </w:r>
          </w:p>
          <w:p w14:paraId="16435FC3">
            <w:pPr>
              <w:keepNext w:val="0"/>
              <w:keepLines w:val="0"/>
              <w:pageBreakBefore w:val="0"/>
              <w:widowControl w:val="0"/>
              <w:kinsoku/>
              <w:wordWrap/>
              <w:overflowPunct/>
              <w:topLinePunct w:val="0"/>
              <w:autoSpaceDE/>
              <w:autoSpaceDN/>
              <w:bidi w:val="0"/>
              <w:adjustRightInd/>
              <w:snapToGrid/>
              <w:spacing w:line="360" w:lineRule="auto"/>
              <w:ind w:left="0" w:right="0"/>
              <w:jc w:val="left"/>
              <w:textAlignment w:val="auto"/>
              <w:rPr>
                <w:rFonts w:hint="eastAsia" w:ascii="仿宋" w:hAnsi="仿宋" w:eastAsia="仿宋" w:cs="仿宋"/>
                <w:color w:val="auto"/>
                <w:kern w:val="2"/>
                <w:sz w:val="28"/>
                <w:szCs w:val="28"/>
                <w:highlight w:val="none"/>
                <w:lang w:val="zh-CN" w:eastAsia="zh-CN" w:bidi="zh-CN"/>
              </w:rPr>
            </w:pPr>
            <w:r>
              <w:rPr>
                <w:rFonts w:hint="eastAsia" w:ascii="仿宋" w:hAnsi="仿宋" w:eastAsia="仿宋" w:cs="仿宋"/>
                <w:color w:val="auto"/>
                <w:kern w:val="2"/>
                <w:sz w:val="28"/>
                <w:szCs w:val="28"/>
                <w:highlight w:val="none"/>
                <w:lang w:val="zh-CN" w:eastAsia="zh-CN" w:bidi="zh-CN"/>
              </w:rPr>
              <w:t>1、</w:t>
            </w:r>
            <w:r>
              <w:rPr>
                <w:rFonts w:hint="eastAsia" w:ascii="仿宋" w:hAnsi="仿宋" w:eastAsia="仿宋" w:cs="仿宋"/>
                <w:color w:val="auto"/>
                <w:kern w:val="2"/>
                <w:sz w:val="28"/>
                <w:szCs w:val="28"/>
                <w:highlight w:val="none"/>
                <w:lang w:val="en-US" w:eastAsia="zh-CN" w:bidi="zh-CN"/>
              </w:rPr>
              <w:t>投标人</w:t>
            </w:r>
            <w:r>
              <w:rPr>
                <w:rFonts w:hint="eastAsia" w:ascii="仿宋" w:hAnsi="仿宋" w:eastAsia="仿宋" w:cs="仿宋"/>
                <w:color w:val="auto"/>
                <w:kern w:val="2"/>
                <w:sz w:val="28"/>
                <w:szCs w:val="28"/>
                <w:highlight w:val="none"/>
                <w:lang w:val="zh-CN" w:eastAsia="zh-CN" w:bidi="zh-CN"/>
              </w:rPr>
              <w:t>承诺在接到采购人通知后1小时（含）内响应并到达采购人指定地点的，得</w:t>
            </w:r>
            <w:r>
              <w:rPr>
                <w:rFonts w:hint="eastAsia" w:ascii="仿宋" w:hAnsi="仿宋" w:eastAsia="仿宋" w:cs="仿宋"/>
                <w:color w:val="auto"/>
                <w:kern w:val="2"/>
                <w:sz w:val="28"/>
                <w:szCs w:val="28"/>
                <w:highlight w:val="none"/>
                <w:lang w:val="en-US" w:eastAsia="zh-CN" w:bidi="zh-CN"/>
              </w:rPr>
              <w:t>5</w:t>
            </w:r>
            <w:r>
              <w:rPr>
                <w:rFonts w:hint="eastAsia" w:ascii="仿宋" w:hAnsi="仿宋" w:eastAsia="仿宋" w:cs="仿宋"/>
                <w:color w:val="auto"/>
                <w:kern w:val="2"/>
                <w:sz w:val="28"/>
                <w:szCs w:val="28"/>
                <w:highlight w:val="none"/>
                <w:lang w:val="zh-CN" w:eastAsia="zh-CN" w:bidi="zh-CN"/>
              </w:rPr>
              <w:t>分；</w:t>
            </w:r>
          </w:p>
          <w:p w14:paraId="2E47D37D">
            <w:pPr>
              <w:keepNext w:val="0"/>
              <w:keepLines w:val="0"/>
              <w:pageBreakBefore w:val="0"/>
              <w:widowControl w:val="0"/>
              <w:kinsoku/>
              <w:wordWrap/>
              <w:overflowPunct/>
              <w:topLinePunct w:val="0"/>
              <w:autoSpaceDE/>
              <w:autoSpaceDN/>
              <w:bidi w:val="0"/>
              <w:adjustRightInd/>
              <w:snapToGrid/>
              <w:spacing w:line="360" w:lineRule="auto"/>
              <w:ind w:left="0" w:right="0"/>
              <w:jc w:val="left"/>
              <w:textAlignment w:val="auto"/>
              <w:rPr>
                <w:rFonts w:hint="eastAsia" w:ascii="仿宋" w:hAnsi="仿宋" w:eastAsia="仿宋" w:cs="仿宋"/>
                <w:color w:val="auto"/>
                <w:kern w:val="2"/>
                <w:sz w:val="28"/>
                <w:szCs w:val="28"/>
                <w:highlight w:val="none"/>
                <w:lang w:val="zh-CN" w:eastAsia="zh-CN" w:bidi="zh-CN"/>
              </w:rPr>
            </w:pPr>
            <w:r>
              <w:rPr>
                <w:rFonts w:hint="eastAsia" w:ascii="仿宋" w:hAnsi="仿宋" w:eastAsia="仿宋" w:cs="仿宋"/>
                <w:color w:val="auto"/>
                <w:kern w:val="2"/>
                <w:sz w:val="28"/>
                <w:szCs w:val="28"/>
                <w:highlight w:val="none"/>
                <w:lang w:val="zh-CN" w:eastAsia="zh-CN" w:bidi="zh-CN"/>
              </w:rPr>
              <w:t>2、</w:t>
            </w:r>
            <w:r>
              <w:rPr>
                <w:rFonts w:hint="eastAsia" w:ascii="仿宋" w:hAnsi="仿宋" w:eastAsia="仿宋" w:cs="仿宋"/>
                <w:color w:val="auto"/>
                <w:kern w:val="2"/>
                <w:sz w:val="28"/>
                <w:szCs w:val="28"/>
                <w:highlight w:val="none"/>
                <w:lang w:val="en-US" w:eastAsia="zh-CN" w:bidi="zh-CN"/>
              </w:rPr>
              <w:t>投标人</w:t>
            </w:r>
            <w:r>
              <w:rPr>
                <w:rFonts w:hint="eastAsia" w:ascii="仿宋" w:hAnsi="仿宋" w:eastAsia="仿宋" w:cs="仿宋"/>
                <w:color w:val="auto"/>
                <w:kern w:val="2"/>
                <w:sz w:val="28"/>
                <w:szCs w:val="28"/>
                <w:highlight w:val="none"/>
                <w:lang w:val="zh-CN" w:eastAsia="zh-CN" w:bidi="zh-CN"/>
              </w:rPr>
              <w:t>承诺在接到采购人通知后1小时（不含）-2小时（含）内响应并到达采购人指定地点的，得</w:t>
            </w:r>
            <w:r>
              <w:rPr>
                <w:rFonts w:hint="eastAsia" w:ascii="仿宋" w:hAnsi="仿宋" w:eastAsia="仿宋" w:cs="仿宋"/>
                <w:color w:val="auto"/>
                <w:kern w:val="2"/>
                <w:sz w:val="28"/>
                <w:szCs w:val="28"/>
                <w:highlight w:val="none"/>
                <w:lang w:val="en-US" w:eastAsia="zh-CN" w:bidi="zh-CN"/>
              </w:rPr>
              <w:t>3</w:t>
            </w:r>
            <w:r>
              <w:rPr>
                <w:rFonts w:hint="eastAsia" w:ascii="仿宋" w:hAnsi="仿宋" w:eastAsia="仿宋" w:cs="仿宋"/>
                <w:color w:val="auto"/>
                <w:kern w:val="2"/>
                <w:sz w:val="28"/>
                <w:szCs w:val="28"/>
                <w:highlight w:val="none"/>
                <w:lang w:val="zh-CN" w:eastAsia="zh-CN" w:bidi="zh-CN"/>
              </w:rPr>
              <w:t>分；</w:t>
            </w:r>
          </w:p>
          <w:p w14:paraId="778F5A4E">
            <w:pPr>
              <w:keepNext w:val="0"/>
              <w:keepLines w:val="0"/>
              <w:pageBreakBefore w:val="0"/>
              <w:widowControl w:val="0"/>
              <w:kinsoku/>
              <w:wordWrap/>
              <w:overflowPunct/>
              <w:topLinePunct w:val="0"/>
              <w:autoSpaceDE/>
              <w:autoSpaceDN/>
              <w:bidi w:val="0"/>
              <w:adjustRightInd/>
              <w:snapToGrid/>
              <w:spacing w:line="360" w:lineRule="auto"/>
              <w:ind w:left="0" w:right="0"/>
              <w:jc w:val="left"/>
              <w:textAlignment w:val="auto"/>
              <w:rPr>
                <w:rFonts w:hint="eastAsia" w:ascii="仿宋" w:hAnsi="仿宋" w:eastAsia="仿宋" w:cs="仿宋"/>
                <w:color w:val="auto"/>
                <w:kern w:val="2"/>
                <w:sz w:val="28"/>
                <w:szCs w:val="28"/>
                <w:highlight w:val="none"/>
                <w:lang w:val="zh-CN" w:eastAsia="zh-CN" w:bidi="zh-CN"/>
              </w:rPr>
            </w:pPr>
            <w:r>
              <w:rPr>
                <w:rFonts w:hint="eastAsia" w:ascii="仿宋" w:hAnsi="仿宋" w:eastAsia="仿宋" w:cs="仿宋"/>
                <w:color w:val="auto"/>
                <w:kern w:val="2"/>
                <w:sz w:val="28"/>
                <w:szCs w:val="28"/>
                <w:highlight w:val="none"/>
                <w:lang w:val="zh-CN" w:eastAsia="zh-CN" w:bidi="zh-CN"/>
              </w:rPr>
              <w:t>3、</w:t>
            </w:r>
            <w:r>
              <w:rPr>
                <w:rFonts w:hint="eastAsia" w:ascii="仿宋" w:hAnsi="仿宋" w:eastAsia="仿宋" w:cs="仿宋"/>
                <w:color w:val="auto"/>
                <w:kern w:val="2"/>
                <w:sz w:val="28"/>
                <w:szCs w:val="28"/>
                <w:highlight w:val="none"/>
                <w:lang w:val="en-US" w:eastAsia="zh-CN" w:bidi="zh-CN"/>
              </w:rPr>
              <w:t>投标人</w:t>
            </w:r>
            <w:r>
              <w:rPr>
                <w:rFonts w:hint="eastAsia" w:ascii="仿宋" w:hAnsi="仿宋" w:eastAsia="仿宋" w:cs="仿宋"/>
                <w:color w:val="auto"/>
                <w:kern w:val="2"/>
                <w:sz w:val="28"/>
                <w:szCs w:val="28"/>
                <w:highlight w:val="none"/>
                <w:lang w:val="zh-CN" w:eastAsia="zh-CN" w:bidi="zh-CN"/>
              </w:rPr>
              <w:t>承诺在接到采购人通知后2小时（不含）-</w:t>
            </w:r>
            <w:r>
              <w:rPr>
                <w:rFonts w:hint="eastAsia" w:ascii="仿宋" w:hAnsi="仿宋" w:eastAsia="仿宋" w:cs="仿宋"/>
                <w:color w:val="auto"/>
                <w:kern w:val="2"/>
                <w:sz w:val="28"/>
                <w:szCs w:val="28"/>
                <w:highlight w:val="none"/>
                <w:lang w:val="en-US" w:eastAsia="zh-CN" w:bidi="zh-CN"/>
              </w:rPr>
              <w:t>3</w:t>
            </w:r>
            <w:r>
              <w:rPr>
                <w:rFonts w:hint="eastAsia" w:ascii="仿宋" w:hAnsi="仿宋" w:eastAsia="仿宋" w:cs="仿宋"/>
                <w:color w:val="auto"/>
                <w:kern w:val="2"/>
                <w:sz w:val="28"/>
                <w:szCs w:val="28"/>
                <w:highlight w:val="none"/>
                <w:lang w:val="zh-CN" w:eastAsia="zh-CN" w:bidi="zh-CN"/>
              </w:rPr>
              <w:t>小时（含）内响应并到达采购人指定地点的，得1分；</w:t>
            </w:r>
          </w:p>
          <w:p w14:paraId="7F48A4AD">
            <w:pPr>
              <w:keepNext w:val="0"/>
              <w:keepLines w:val="0"/>
              <w:pageBreakBefore w:val="0"/>
              <w:widowControl w:val="0"/>
              <w:kinsoku/>
              <w:wordWrap/>
              <w:overflowPunct/>
              <w:topLinePunct w:val="0"/>
              <w:autoSpaceDE/>
              <w:autoSpaceDN/>
              <w:bidi w:val="0"/>
              <w:adjustRightInd/>
              <w:snapToGrid/>
              <w:spacing w:line="360" w:lineRule="auto"/>
              <w:ind w:left="0" w:right="0"/>
              <w:jc w:val="left"/>
              <w:textAlignment w:val="auto"/>
              <w:rPr>
                <w:rFonts w:hint="eastAsia" w:ascii="仿宋" w:hAnsi="仿宋" w:eastAsia="仿宋" w:cs="仿宋"/>
                <w:color w:val="auto"/>
                <w:kern w:val="2"/>
                <w:sz w:val="28"/>
                <w:szCs w:val="28"/>
                <w:highlight w:val="none"/>
                <w:lang w:val="zh-CN" w:eastAsia="zh-CN" w:bidi="zh-CN"/>
              </w:rPr>
            </w:pPr>
            <w:r>
              <w:rPr>
                <w:rFonts w:hint="eastAsia" w:ascii="仿宋" w:hAnsi="仿宋" w:eastAsia="仿宋" w:cs="仿宋"/>
                <w:color w:val="auto"/>
                <w:kern w:val="2"/>
                <w:sz w:val="28"/>
                <w:szCs w:val="28"/>
                <w:highlight w:val="none"/>
                <w:lang w:val="zh-CN" w:eastAsia="zh-CN" w:bidi="zh-CN"/>
              </w:rPr>
              <w:t>4、未提供承诺书或其它情况的不得分。</w:t>
            </w:r>
          </w:p>
          <w:p w14:paraId="29172DC9">
            <w:pPr>
              <w:keepNext w:val="0"/>
              <w:keepLines w:val="0"/>
              <w:pageBreakBefore w:val="0"/>
              <w:widowControl w:val="0"/>
              <w:kinsoku/>
              <w:wordWrap/>
              <w:overflowPunct/>
              <w:topLinePunct w:val="0"/>
              <w:autoSpaceDE/>
              <w:autoSpaceDN/>
              <w:bidi w:val="0"/>
              <w:adjustRightInd/>
              <w:snapToGrid/>
              <w:spacing w:line="360" w:lineRule="auto"/>
              <w:ind w:left="0" w:right="0"/>
              <w:jc w:val="left"/>
              <w:textAlignment w:val="auto"/>
              <w:rPr>
                <w:rFonts w:hint="eastAsia" w:ascii="仿宋" w:hAnsi="仿宋" w:eastAsia="仿宋" w:cs="仿宋"/>
                <w:color w:val="auto"/>
                <w:kern w:val="2"/>
                <w:sz w:val="28"/>
                <w:szCs w:val="28"/>
                <w:highlight w:val="none"/>
                <w:lang w:val="zh-CN" w:eastAsia="zh-CN" w:bidi="zh-CN"/>
              </w:rPr>
            </w:pPr>
            <w:r>
              <w:rPr>
                <w:rFonts w:hint="eastAsia" w:ascii="仿宋" w:hAnsi="仿宋" w:eastAsia="仿宋" w:cs="仿宋"/>
                <w:color w:val="auto"/>
                <w:kern w:val="2"/>
                <w:sz w:val="28"/>
                <w:szCs w:val="28"/>
                <w:highlight w:val="none"/>
                <w:lang w:val="zh-CN" w:eastAsia="zh-CN" w:bidi="zh-CN"/>
              </w:rPr>
              <w:t>注：须提供服务响应承诺书加盖投标人公章。</w:t>
            </w:r>
          </w:p>
        </w:tc>
      </w:tr>
      <w:tr w14:paraId="5BA42CA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0" w:hRule="atLeast"/>
          <w:jc w:val="center"/>
        </w:trPr>
        <w:tc>
          <w:tcPr>
            <w:tcW w:w="459" w:type="pct"/>
            <w:vAlign w:val="center"/>
          </w:tcPr>
          <w:p w14:paraId="34F60B46">
            <w:pPr>
              <w:pStyle w:val="26"/>
              <w:keepNext w:val="0"/>
              <w:keepLines w:val="0"/>
              <w:pageBreakBefore w:val="0"/>
              <w:kinsoku/>
              <w:wordWrap/>
              <w:overflowPunct/>
              <w:topLinePunct w:val="0"/>
              <w:autoSpaceDE/>
              <w:autoSpaceDN/>
              <w:bidi w:val="0"/>
              <w:adjustRightInd/>
              <w:snapToGrid/>
              <w:ind w:left="196" w:leftChars="0"/>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投标报价</w:t>
            </w:r>
          </w:p>
        </w:tc>
        <w:tc>
          <w:tcPr>
            <w:tcW w:w="575" w:type="pct"/>
            <w:tcBorders>
              <w:top w:val="single" w:color="000000" w:sz="6" w:space="0"/>
              <w:bottom w:val="single" w:color="000000" w:sz="6" w:space="0"/>
            </w:tcBorders>
            <w:vAlign w:val="center"/>
          </w:tcPr>
          <w:p w14:paraId="45478AD2">
            <w:pPr>
              <w:keepNext w:val="0"/>
              <w:keepLines w:val="0"/>
              <w:pageBreakBefore w:val="0"/>
              <w:kinsoku/>
              <w:wordWrap/>
              <w:overflowPunct/>
              <w:topLinePunct w:val="0"/>
              <w:autoSpaceDE/>
              <w:autoSpaceDN/>
              <w:bidi w:val="0"/>
              <w:adjustRightInd/>
              <w:snapToGrid/>
              <w:jc w:val="center"/>
              <w:textAlignment w:val="auto"/>
              <w:rPr>
                <w:rFonts w:hint="eastAsia" w:ascii="仿宋" w:hAnsi="仿宋" w:eastAsia="仿宋" w:cs="仿宋"/>
                <w:color w:val="auto"/>
                <w:kern w:val="2"/>
                <w:sz w:val="28"/>
                <w:szCs w:val="28"/>
                <w:highlight w:val="none"/>
                <w:lang w:val="zh-CN" w:eastAsia="zh-CN" w:bidi="zh-CN"/>
              </w:rPr>
            </w:pPr>
            <w:r>
              <w:rPr>
                <w:rFonts w:hint="eastAsia" w:ascii="仿宋" w:hAnsi="仿宋" w:eastAsia="仿宋" w:cs="仿宋"/>
                <w:color w:val="auto"/>
                <w:kern w:val="2"/>
                <w:sz w:val="28"/>
                <w:szCs w:val="28"/>
                <w:highlight w:val="none"/>
                <w:lang w:val="zh-CN" w:eastAsia="zh-CN" w:bidi="zh-CN"/>
              </w:rPr>
              <w:t>投标报价得分</w:t>
            </w:r>
          </w:p>
          <w:p w14:paraId="478CD6F6">
            <w:pPr>
              <w:keepNext w:val="0"/>
              <w:keepLines w:val="0"/>
              <w:pageBreakBefore w:val="0"/>
              <w:kinsoku/>
              <w:wordWrap/>
              <w:overflowPunct/>
              <w:topLinePunct w:val="0"/>
              <w:autoSpaceDE/>
              <w:autoSpaceDN/>
              <w:bidi w:val="0"/>
              <w:adjustRightInd/>
              <w:snapToGrid/>
              <w:jc w:val="center"/>
              <w:textAlignment w:val="auto"/>
              <w:rPr>
                <w:rFonts w:hint="eastAsia" w:ascii="仿宋" w:hAnsi="仿宋" w:eastAsia="仿宋" w:cs="仿宋"/>
                <w:color w:val="auto"/>
                <w:kern w:val="2"/>
                <w:sz w:val="28"/>
                <w:szCs w:val="28"/>
                <w:highlight w:val="none"/>
                <w:lang w:val="en-US" w:eastAsia="zh-CN" w:bidi="zh-CN"/>
              </w:rPr>
            </w:pPr>
            <w:r>
              <w:rPr>
                <w:rFonts w:hint="eastAsia" w:ascii="仿宋" w:hAnsi="仿宋" w:eastAsia="仿宋" w:cs="仿宋"/>
                <w:color w:val="auto"/>
                <w:kern w:val="2"/>
                <w:sz w:val="28"/>
                <w:szCs w:val="28"/>
                <w:highlight w:val="none"/>
                <w:lang w:val="zh-CN" w:eastAsia="zh-CN" w:bidi="zh-CN"/>
              </w:rPr>
              <w:t>(</w:t>
            </w:r>
            <w:r>
              <w:rPr>
                <w:rFonts w:hint="eastAsia" w:ascii="仿宋" w:hAnsi="仿宋" w:eastAsia="仿宋" w:cs="仿宋"/>
                <w:color w:val="auto"/>
                <w:kern w:val="2"/>
                <w:sz w:val="28"/>
                <w:szCs w:val="28"/>
                <w:highlight w:val="none"/>
                <w:lang w:val="en-US" w:eastAsia="zh-CN" w:bidi="zh-CN"/>
              </w:rPr>
              <w:t>3</w:t>
            </w:r>
            <w:r>
              <w:rPr>
                <w:rFonts w:hint="eastAsia" w:ascii="仿宋" w:hAnsi="仿宋" w:eastAsia="仿宋" w:cs="仿宋"/>
                <w:color w:val="auto"/>
                <w:kern w:val="2"/>
                <w:sz w:val="28"/>
                <w:szCs w:val="28"/>
                <w:highlight w:val="none"/>
                <w:lang w:val="zh-CN" w:eastAsia="zh-CN" w:bidi="zh-CN"/>
              </w:rPr>
              <w:t>0.0分)</w:t>
            </w:r>
          </w:p>
        </w:tc>
        <w:tc>
          <w:tcPr>
            <w:tcW w:w="3964" w:type="pct"/>
            <w:tcBorders>
              <w:top w:val="single" w:color="000000" w:sz="6" w:space="0"/>
              <w:bottom w:val="single" w:color="000000" w:sz="6" w:space="0"/>
            </w:tcBorders>
            <w:vAlign w:val="top"/>
          </w:tcPr>
          <w:p w14:paraId="7F23D217">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left"/>
              <w:textAlignment w:val="auto"/>
              <w:rPr>
                <w:rFonts w:hint="eastAsia" w:ascii="仿宋" w:hAnsi="仿宋" w:eastAsia="仿宋" w:cs="仿宋"/>
                <w:color w:val="auto"/>
                <w:kern w:val="2"/>
                <w:sz w:val="28"/>
                <w:szCs w:val="28"/>
                <w:highlight w:val="none"/>
                <w:lang w:val="zh-CN" w:eastAsia="zh-CN" w:bidi="zh-CN"/>
              </w:rPr>
            </w:pPr>
            <w:r>
              <w:rPr>
                <w:rFonts w:hint="eastAsia" w:ascii="仿宋" w:hAnsi="仿宋" w:eastAsia="仿宋" w:cs="仿宋"/>
                <w:color w:val="auto"/>
                <w:kern w:val="2"/>
                <w:sz w:val="28"/>
                <w:szCs w:val="28"/>
                <w:highlight w:val="none"/>
                <w:lang w:val="zh-CN" w:eastAsia="zh-CN" w:bidi="zh-CN"/>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20%为报价最低，评标基准价为20%，得满分】。因落实政府采购政策进行价格调整的，以调整后的价格计算评标基准价和投标报价。</w:t>
            </w:r>
          </w:p>
        </w:tc>
      </w:tr>
    </w:tbl>
    <w:p w14:paraId="25377543">
      <w:pPr>
        <w:pStyle w:val="16"/>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采购包</w:t>
      </w:r>
      <w:r>
        <w:rPr>
          <w:rFonts w:hint="eastAsia" w:ascii="仿宋" w:hAnsi="仿宋" w:eastAsia="仿宋" w:cs="仿宋"/>
          <w:color w:val="auto"/>
          <w:sz w:val="28"/>
          <w:szCs w:val="28"/>
          <w:highlight w:val="none"/>
          <w:lang w:val="en-US" w:eastAsia="zh-CN"/>
        </w:rPr>
        <w:t>2</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干货调料、包点、蛋品及冰鲜类食材配送服务</w:t>
      </w:r>
      <w:r>
        <w:rPr>
          <w:rFonts w:hint="eastAsia" w:ascii="仿宋" w:hAnsi="仿宋" w:eastAsia="仿宋" w:cs="仿宋"/>
          <w:color w:val="auto"/>
          <w:sz w:val="28"/>
          <w:szCs w:val="28"/>
          <w:highlight w:val="none"/>
          <w:lang w:eastAsia="zh-CN"/>
        </w:rPr>
        <w:t>）：</w:t>
      </w:r>
    </w:p>
    <w:tbl>
      <w:tblPr>
        <w:tblStyle w:val="12"/>
        <w:tblW w:w="5138" w:type="pct"/>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0" w:type="dxa"/>
          <w:bottom w:w="0" w:type="dxa"/>
          <w:right w:w="0" w:type="dxa"/>
        </w:tblCellMar>
      </w:tblPr>
      <w:tblGrid>
        <w:gridCol w:w="836"/>
        <w:gridCol w:w="1047"/>
        <w:gridCol w:w="7223"/>
      </w:tblGrid>
      <w:tr w14:paraId="1F4EAD1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9" w:hRule="atLeast"/>
          <w:jc w:val="center"/>
        </w:trPr>
        <w:tc>
          <w:tcPr>
            <w:tcW w:w="459" w:type="pct"/>
            <w:vAlign w:val="center"/>
          </w:tcPr>
          <w:p w14:paraId="1B72A345">
            <w:pPr>
              <w:pStyle w:val="26"/>
              <w:keepNext w:val="0"/>
              <w:keepLines w:val="0"/>
              <w:pageBreakBefore w:val="0"/>
              <w:kinsoku/>
              <w:wordWrap/>
              <w:overflowPunct/>
              <w:topLinePunct w:val="0"/>
              <w:autoSpaceDE/>
              <w:autoSpaceDN/>
              <w:bidi w:val="0"/>
              <w:adjustRightInd/>
              <w:snapToGrid/>
              <w:spacing w:before="60"/>
              <w:ind w:right="168"/>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评审因素</w:t>
            </w:r>
          </w:p>
        </w:tc>
        <w:tc>
          <w:tcPr>
            <w:tcW w:w="4540" w:type="pct"/>
            <w:gridSpan w:val="2"/>
            <w:vAlign w:val="center"/>
          </w:tcPr>
          <w:p w14:paraId="33610553">
            <w:pPr>
              <w:pStyle w:val="26"/>
              <w:keepNext w:val="0"/>
              <w:keepLines w:val="0"/>
              <w:pageBreakBefore w:val="0"/>
              <w:kinsoku/>
              <w:wordWrap/>
              <w:overflowPunct/>
              <w:topLinePunct w:val="0"/>
              <w:autoSpaceDE/>
              <w:autoSpaceDN/>
              <w:bidi w:val="0"/>
              <w:adjustRightInd/>
              <w:snapToGrid/>
              <w:spacing w:before="60"/>
              <w:ind w:right="4278"/>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评审标准</w:t>
            </w:r>
          </w:p>
        </w:tc>
      </w:tr>
      <w:tr w14:paraId="633EEF4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278" w:hRule="atLeast"/>
          <w:jc w:val="center"/>
        </w:trPr>
        <w:tc>
          <w:tcPr>
            <w:tcW w:w="459" w:type="pct"/>
            <w:vAlign w:val="center"/>
          </w:tcPr>
          <w:p w14:paraId="5701CC35">
            <w:pPr>
              <w:pStyle w:val="26"/>
              <w:keepNext w:val="0"/>
              <w:keepLines w:val="0"/>
              <w:pageBreakBefore w:val="0"/>
              <w:kinsoku/>
              <w:wordWrap/>
              <w:overflowPunct/>
              <w:topLinePunct w:val="0"/>
              <w:autoSpaceDE/>
              <w:autoSpaceDN/>
              <w:bidi w:val="0"/>
              <w:adjustRightInd/>
              <w:snapToGrid/>
              <w:ind w:right="168"/>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分值构成</w:t>
            </w:r>
          </w:p>
        </w:tc>
        <w:tc>
          <w:tcPr>
            <w:tcW w:w="4540" w:type="pct"/>
            <w:gridSpan w:val="2"/>
            <w:vAlign w:val="center"/>
          </w:tcPr>
          <w:p w14:paraId="1080925B">
            <w:pPr>
              <w:pStyle w:val="26"/>
              <w:keepNext w:val="0"/>
              <w:keepLines w:val="0"/>
              <w:pageBreakBefore w:val="0"/>
              <w:widowControl w:val="0"/>
              <w:kinsoku/>
              <w:wordWrap/>
              <w:overflowPunct/>
              <w:topLinePunct w:val="0"/>
              <w:autoSpaceDE/>
              <w:autoSpaceDN/>
              <w:bidi w:val="0"/>
              <w:adjustRightInd/>
              <w:snapToGrid/>
              <w:spacing w:line="360" w:lineRule="auto"/>
              <w:ind w:left="102"/>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商务部分</w:t>
            </w:r>
            <w:r>
              <w:rPr>
                <w:rFonts w:hint="eastAsia" w:ascii="仿宋" w:hAnsi="仿宋" w:eastAsia="仿宋" w:cs="仿宋"/>
                <w:color w:val="auto"/>
                <w:sz w:val="28"/>
                <w:szCs w:val="28"/>
                <w:highlight w:val="none"/>
                <w:lang w:val="en-US" w:eastAsia="zh-CN"/>
              </w:rPr>
              <w:t>20</w:t>
            </w:r>
            <w:r>
              <w:rPr>
                <w:rFonts w:hint="eastAsia" w:ascii="仿宋" w:hAnsi="仿宋" w:eastAsia="仿宋" w:cs="仿宋"/>
                <w:color w:val="auto"/>
                <w:sz w:val="28"/>
                <w:szCs w:val="28"/>
                <w:highlight w:val="none"/>
              </w:rPr>
              <w:t>.0分</w:t>
            </w:r>
          </w:p>
          <w:p w14:paraId="4DB1FA2E">
            <w:pPr>
              <w:pStyle w:val="26"/>
              <w:keepNext w:val="0"/>
              <w:keepLines w:val="0"/>
              <w:pageBreakBefore w:val="0"/>
              <w:widowControl w:val="0"/>
              <w:kinsoku/>
              <w:wordWrap/>
              <w:overflowPunct/>
              <w:topLinePunct w:val="0"/>
              <w:autoSpaceDE/>
              <w:autoSpaceDN/>
              <w:bidi w:val="0"/>
              <w:adjustRightInd/>
              <w:snapToGrid/>
              <w:spacing w:line="360" w:lineRule="auto"/>
              <w:ind w:left="102"/>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技术部分</w:t>
            </w:r>
            <w:r>
              <w:rPr>
                <w:rFonts w:hint="eastAsia" w:ascii="仿宋" w:hAnsi="仿宋" w:eastAsia="仿宋" w:cs="仿宋"/>
                <w:color w:val="auto"/>
                <w:sz w:val="28"/>
                <w:szCs w:val="28"/>
                <w:highlight w:val="none"/>
                <w:lang w:val="en-US" w:eastAsia="zh-CN"/>
              </w:rPr>
              <w:t>50</w:t>
            </w:r>
            <w:r>
              <w:rPr>
                <w:rFonts w:hint="eastAsia" w:ascii="仿宋" w:hAnsi="仿宋" w:eastAsia="仿宋" w:cs="仿宋"/>
                <w:color w:val="auto"/>
                <w:sz w:val="28"/>
                <w:szCs w:val="28"/>
                <w:highlight w:val="none"/>
              </w:rPr>
              <w:t>.0分</w:t>
            </w:r>
          </w:p>
          <w:p w14:paraId="5ECAE5B0">
            <w:pPr>
              <w:pStyle w:val="26"/>
              <w:keepNext w:val="0"/>
              <w:keepLines w:val="0"/>
              <w:pageBreakBefore w:val="0"/>
              <w:widowControl w:val="0"/>
              <w:kinsoku/>
              <w:wordWrap/>
              <w:overflowPunct/>
              <w:topLinePunct w:val="0"/>
              <w:autoSpaceDE/>
              <w:autoSpaceDN/>
              <w:bidi w:val="0"/>
              <w:adjustRightInd/>
              <w:snapToGrid/>
              <w:spacing w:line="360" w:lineRule="auto"/>
              <w:ind w:left="102"/>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报价得分</w:t>
            </w:r>
            <w:r>
              <w:rPr>
                <w:rFonts w:hint="eastAsia" w:ascii="仿宋" w:hAnsi="仿宋" w:eastAsia="仿宋" w:cs="仿宋"/>
                <w:color w:val="auto"/>
                <w:sz w:val="28"/>
                <w:szCs w:val="28"/>
                <w:highlight w:val="none"/>
                <w:lang w:val="en-US" w:eastAsia="zh-CN"/>
              </w:rPr>
              <w:t>3</w:t>
            </w:r>
            <w:r>
              <w:rPr>
                <w:rFonts w:hint="eastAsia" w:ascii="仿宋" w:hAnsi="仿宋" w:eastAsia="仿宋" w:cs="仿宋"/>
                <w:color w:val="auto"/>
                <w:sz w:val="28"/>
                <w:szCs w:val="28"/>
                <w:highlight w:val="none"/>
              </w:rPr>
              <w:t>0.0分</w:t>
            </w:r>
          </w:p>
        </w:tc>
      </w:tr>
      <w:tr w14:paraId="6574F2E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0" w:hRule="atLeast"/>
          <w:jc w:val="center"/>
        </w:trPr>
        <w:tc>
          <w:tcPr>
            <w:tcW w:w="459" w:type="pct"/>
            <w:vMerge w:val="restart"/>
            <w:vAlign w:val="center"/>
          </w:tcPr>
          <w:p w14:paraId="1EC6887D">
            <w:pPr>
              <w:pStyle w:val="26"/>
              <w:keepNext w:val="0"/>
              <w:keepLines w:val="0"/>
              <w:pageBreakBefore w:val="0"/>
              <w:kinsoku/>
              <w:wordWrap/>
              <w:overflowPunct/>
              <w:topLinePunct w:val="0"/>
              <w:autoSpaceDE/>
              <w:autoSpaceDN/>
              <w:bidi w:val="0"/>
              <w:adjustRightInd/>
              <w:snapToGrid/>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技术部分</w:t>
            </w:r>
          </w:p>
        </w:tc>
        <w:tc>
          <w:tcPr>
            <w:tcW w:w="575" w:type="pct"/>
            <w:tcBorders>
              <w:bottom w:val="single" w:color="000000" w:sz="6" w:space="0"/>
            </w:tcBorders>
            <w:vAlign w:val="center"/>
          </w:tcPr>
          <w:p w14:paraId="53F56C03">
            <w:pPr>
              <w:pStyle w:val="16"/>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总体实施方案</w:t>
            </w:r>
          </w:p>
          <w:p w14:paraId="419A3BE9">
            <w:pPr>
              <w:pStyle w:val="16"/>
              <w:jc w:val="center"/>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（8.0分）</w:t>
            </w:r>
          </w:p>
        </w:tc>
        <w:tc>
          <w:tcPr>
            <w:tcW w:w="3964" w:type="pct"/>
            <w:tcBorders>
              <w:bottom w:val="single" w:color="000000" w:sz="6" w:space="0"/>
            </w:tcBorders>
            <w:vAlign w:val="top"/>
          </w:tcPr>
          <w:p w14:paraId="30A63634">
            <w:pPr>
              <w:pStyle w:val="16"/>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根据投标人提供的本项目总体实施方案（包括但不限于：实施组织计划、总体工作流程等）进行评审：</w:t>
            </w:r>
          </w:p>
          <w:p w14:paraId="60A2DDD8">
            <w:pPr>
              <w:pStyle w:val="16"/>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1、实施方案非常详细全面，实施组织计划科学合理，总体工作流程详尽完善、步骤清晰明确，服务标准非常高，完全满足本项目采购需求要求的，得</w:t>
            </w:r>
            <w:r>
              <w:rPr>
                <w:rFonts w:hint="eastAsia" w:ascii="仿宋" w:hAnsi="仿宋" w:eastAsia="仿宋" w:cs="仿宋"/>
                <w:color w:val="auto"/>
                <w:sz w:val="28"/>
                <w:szCs w:val="28"/>
                <w:highlight w:val="none"/>
                <w:lang w:val="en-US" w:eastAsia="zh-CN"/>
              </w:rPr>
              <w:t>8</w:t>
            </w:r>
            <w:r>
              <w:rPr>
                <w:rFonts w:hint="eastAsia" w:ascii="仿宋" w:hAnsi="仿宋" w:eastAsia="仿宋" w:cs="仿宋"/>
                <w:color w:val="auto"/>
                <w:sz w:val="28"/>
                <w:szCs w:val="28"/>
                <w:highlight w:val="none"/>
              </w:rPr>
              <w:t>分；</w:t>
            </w:r>
          </w:p>
          <w:p w14:paraId="1340222D">
            <w:pPr>
              <w:pStyle w:val="16"/>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2、实施方案详细全面，实施组织计划比较符合项目需求的，总体工作流程比较完善、步骤较清晰明确，服务标准高，能满足本项目采购需求要求的，得</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分；</w:t>
            </w:r>
          </w:p>
          <w:p w14:paraId="5962A90C">
            <w:pPr>
              <w:pStyle w:val="16"/>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3、实施组织计划基本合理，总体工作流程基本完整，服务标准较高，保障措施可行的，基本满足本项目采购需求要求的，得</w:t>
            </w:r>
            <w:r>
              <w:rPr>
                <w:rFonts w:hint="eastAsia" w:ascii="仿宋" w:hAnsi="仿宋" w:eastAsia="仿宋" w:cs="仿宋"/>
                <w:color w:val="auto"/>
                <w:sz w:val="28"/>
                <w:szCs w:val="28"/>
                <w:highlight w:val="none"/>
                <w:lang w:val="en-US" w:eastAsia="zh-CN"/>
              </w:rPr>
              <w:t>3</w:t>
            </w:r>
            <w:r>
              <w:rPr>
                <w:rFonts w:hint="eastAsia" w:ascii="仿宋" w:hAnsi="仿宋" w:eastAsia="仿宋" w:cs="仿宋"/>
                <w:color w:val="auto"/>
                <w:sz w:val="28"/>
                <w:szCs w:val="28"/>
                <w:highlight w:val="none"/>
              </w:rPr>
              <w:t>分；</w:t>
            </w:r>
          </w:p>
          <w:p w14:paraId="3AAB4CC0">
            <w:pPr>
              <w:pStyle w:val="16"/>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4、实施组织计划、总体工作流程简略、服务标准及保障措施可行性较差的，难以满足本项目采购需求要求的，得1分；</w:t>
            </w:r>
          </w:p>
          <w:p w14:paraId="4BAD5C49">
            <w:pPr>
              <w:pStyle w:val="16"/>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5、未提供相关方案的，得0分。</w:t>
            </w:r>
          </w:p>
        </w:tc>
      </w:tr>
      <w:tr w14:paraId="59B84FB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0" w:hRule="atLeast"/>
          <w:jc w:val="center"/>
        </w:trPr>
        <w:tc>
          <w:tcPr>
            <w:tcW w:w="459" w:type="pct"/>
            <w:vMerge w:val="continue"/>
            <w:vAlign w:val="center"/>
          </w:tcPr>
          <w:p w14:paraId="336C1FD1">
            <w:pPr>
              <w:pStyle w:val="26"/>
              <w:keepNext w:val="0"/>
              <w:keepLines w:val="0"/>
              <w:pageBreakBefore w:val="0"/>
              <w:kinsoku/>
              <w:wordWrap/>
              <w:overflowPunct/>
              <w:topLinePunct w:val="0"/>
              <w:autoSpaceDE/>
              <w:autoSpaceDN/>
              <w:bidi w:val="0"/>
              <w:adjustRightInd/>
              <w:snapToGrid/>
              <w:jc w:val="center"/>
              <w:textAlignment w:val="auto"/>
              <w:rPr>
                <w:rFonts w:hint="eastAsia" w:ascii="仿宋" w:hAnsi="仿宋" w:eastAsia="仿宋" w:cs="仿宋"/>
                <w:color w:val="auto"/>
                <w:sz w:val="28"/>
                <w:szCs w:val="28"/>
                <w:highlight w:val="none"/>
              </w:rPr>
            </w:pPr>
          </w:p>
        </w:tc>
        <w:tc>
          <w:tcPr>
            <w:tcW w:w="575" w:type="pct"/>
            <w:tcBorders>
              <w:bottom w:val="single" w:color="000000" w:sz="6" w:space="0"/>
            </w:tcBorders>
            <w:vAlign w:val="center"/>
          </w:tcPr>
          <w:p w14:paraId="2695A95F">
            <w:pPr>
              <w:pStyle w:val="16"/>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食品安全质量保障方案</w:t>
            </w:r>
          </w:p>
          <w:p w14:paraId="43D177FC">
            <w:pPr>
              <w:pStyle w:val="16"/>
              <w:jc w:val="center"/>
              <w:rPr>
                <w:rFonts w:hint="eastAsia" w:ascii="仿宋" w:hAnsi="仿宋" w:eastAsia="仿宋" w:cs="仿宋"/>
                <w:color w:val="auto"/>
                <w:kern w:val="2"/>
                <w:sz w:val="28"/>
                <w:szCs w:val="28"/>
                <w:highlight w:val="none"/>
                <w:lang w:val="zh-CN" w:eastAsia="zh-CN" w:bidi="zh-CN"/>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0</w:t>
            </w:r>
            <w:r>
              <w:rPr>
                <w:rFonts w:hint="eastAsia" w:ascii="仿宋" w:hAnsi="仿宋" w:eastAsia="仿宋" w:cs="仿宋"/>
                <w:color w:val="auto"/>
                <w:sz w:val="28"/>
                <w:szCs w:val="28"/>
                <w:highlight w:val="none"/>
              </w:rPr>
              <w:t>.0分)</w:t>
            </w:r>
          </w:p>
        </w:tc>
        <w:tc>
          <w:tcPr>
            <w:tcW w:w="3964" w:type="pct"/>
            <w:tcBorders>
              <w:bottom w:val="single" w:color="000000" w:sz="6" w:space="0"/>
            </w:tcBorders>
            <w:vAlign w:val="top"/>
          </w:tcPr>
          <w:p w14:paraId="64F88251">
            <w:pPr>
              <w:pStyle w:val="16"/>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根据投标人提供针对本项目的食品安全质量保障方案（包括但不限于：货物的来源、生长环境、加工、包装、食物卫生、安全的标准、控制措施、质量保证措施等)进行评审：</w:t>
            </w:r>
          </w:p>
          <w:p w14:paraId="136B7300">
            <w:pPr>
              <w:pStyle w:val="16"/>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1、食品安全质量保障方案详尽完善，非常科学合理、切实可行，产品质量把控非常严谨，严格按照国家相关要求执行的，完全满足本项目采购需求要求的，得1</w:t>
            </w:r>
            <w:r>
              <w:rPr>
                <w:rFonts w:hint="eastAsia" w:ascii="仿宋" w:hAnsi="仿宋" w:eastAsia="仿宋" w:cs="仿宋"/>
                <w:color w:val="auto"/>
                <w:sz w:val="28"/>
                <w:szCs w:val="28"/>
                <w:highlight w:val="none"/>
                <w:lang w:val="en-US" w:eastAsia="zh-CN"/>
              </w:rPr>
              <w:t>0</w:t>
            </w:r>
            <w:r>
              <w:rPr>
                <w:rFonts w:hint="eastAsia" w:ascii="仿宋" w:hAnsi="仿宋" w:eastAsia="仿宋" w:cs="仿宋"/>
                <w:color w:val="auto"/>
                <w:sz w:val="28"/>
                <w:szCs w:val="28"/>
                <w:highlight w:val="none"/>
              </w:rPr>
              <w:t>分；</w:t>
            </w:r>
          </w:p>
          <w:p w14:paraId="12879CB7">
            <w:pPr>
              <w:pStyle w:val="16"/>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2、食品安全质量保障方案详细，符合科学要求、产品质量把控非常严谨，按照国家相关要求执行的，能满足本项目采购需求要求的，得</w:t>
            </w:r>
            <w:r>
              <w:rPr>
                <w:rFonts w:hint="eastAsia" w:ascii="仿宋" w:hAnsi="仿宋" w:eastAsia="仿宋" w:cs="仿宋"/>
                <w:color w:val="auto"/>
                <w:sz w:val="28"/>
                <w:szCs w:val="28"/>
                <w:highlight w:val="none"/>
                <w:lang w:val="en-US" w:eastAsia="zh-CN"/>
              </w:rPr>
              <w:t>7</w:t>
            </w:r>
            <w:r>
              <w:rPr>
                <w:rFonts w:hint="eastAsia" w:ascii="仿宋" w:hAnsi="仿宋" w:eastAsia="仿宋" w:cs="仿宋"/>
                <w:color w:val="auto"/>
                <w:sz w:val="28"/>
                <w:szCs w:val="28"/>
                <w:highlight w:val="none"/>
              </w:rPr>
              <w:t>分；</w:t>
            </w:r>
          </w:p>
          <w:p w14:paraId="1C346E9A">
            <w:pPr>
              <w:pStyle w:val="16"/>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3、食品安全保障方案比较合理、可行，产品质量把控非常严谨，基本满足本项目采购需求要求的，得</w:t>
            </w: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rPr>
              <w:t>分；</w:t>
            </w:r>
          </w:p>
          <w:p w14:paraId="02A51D92">
            <w:pPr>
              <w:pStyle w:val="16"/>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4、食品安全保障方案基本合理、可行，产品质量把控严谨，难以满足本项目采购需求要求的，得1分；</w:t>
            </w:r>
          </w:p>
          <w:p w14:paraId="1259B876">
            <w:pPr>
              <w:pStyle w:val="16"/>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kern w:val="2"/>
                <w:sz w:val="28"/>
                <w:szCs w:val="28"/>
                <w:highlight w:val="none"/>
                <w:lang w:val="zh-CN" w:eastAsia="zh-CN" w:bidi="zh-CN"/>
              </w:rPr>
            </w:pPr>
            <w:r>
              <w:rPr>
                <w:rFonts w:hint="eastAsia" w:ascii="仿宋" w:hAnsi="仿宋" w:eastAsia="仿宋" w:cs="仿宋"/>
                <w:color w:val="auto"/>
                <w:sz w:val="28"/>
                <w:szCs w:val="28"/>
                <w:highlight w:val="none"/>
              </w:rPr>
              <w:t>5、未提供相关方案的，得0分。</w:t>
            </w:r>
          </w:p>
        </w:tc>
      </w:tr>
      <w:tr w14:paraId="1102F04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0" w:hRule="atLeast"/>
          <w:jc w:val="center"/>
        </w:trPr>
        <w:tc>
          <w:tcPr>
            <w:tcW w:w="459" w:type="pct"/>
            <w:vMerge w:val="continue"/>
            <w:vAlign w:val="center"/>
          </w:tcPr>
          <w:p w14:paraId="58C861C1">
            <w:pPr>
              <w:keepNext w:val="0"/>
              <w:keepLines w:val="0"/>
              <w:pageBreakBefore w:val="0"/>
              <w:kinsoku/>
              <w:wordWrap/>
              <w:overflowPunct/>
              <w:topLinePunct w:val="0"/>
              <w:autoSpaceDE/>
              <w:autoSpaceDN/>
              <w:bidi w:val="0"/>
              <w:adjustRightInd/>
              <w:snapToGrid/>
              <w:jc w:val="center"/>
              <w:textAlignment w:val="auto"/>
              <w:rPr>
                <w:rFonts w:hint="eastAsia" w:ascii="仿宋" w:hAnsi="仿宋" w:eastAsia="仿宋" w:cs="仿宋"/>
                <w:color w:val="auto"/>
                <w:sz w:val="28"/>
                <w:szCs w:val="28"/>
                <w:highlight w:val="none"/>
              </w:rPr>
            </w:pPr>
          </w:p>
        </w:tc>
        <w:tc>
          <w:tcPr>
            <w:tcW w:w="575" w:type="pct"/>
            <w:tcBorders>
              <w:top w:val="single" w:color="000000" w:sz="6" w:space="0"/>
              <w:bottom w:val="single" w:color="000000" w:sz="6" w:space="0"/>
            </w:tcBorders>
            <w:vAlign w:val="center"/>
          </w:tcPr>
          <w:p w14:paraId="04FA8A73">
            <w:pPr>
              <w:pStyle w:val="16"/>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配送服务方案</w:t>
            </w:r>
          </w:p>
          <w:p w14:paraId="7F78652B">
            <w:pPr>
              <w:pStyle w:val="16"/>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8</w:t>
            </w:r>
            <w:r>
              <w:rPr>
                <w:rFonts w:hint="eastAsia" w:ascii="仿宋" w:hAnsi="仿宋" w:eastAsia="仿宋" w:cs="仿宋"/>
                <w:color w:val="auto"/>
                <w:sz w:val="28"/>
                <w:szCs w:val="28"/>
                <w:highlight w:val="none"/>
              </w:rPr>
              <w:t>.0分)</w:t>
            </w:r>
          </w:p>
        </w:tc>
        <w:tc>
          <w:tcPr>
            <w:tcW w:w="3964" w:type="pct"/>
            <w:tcBorders>
              <w:top w:val="single" w:color="000000" w:sz="6" w:space="0"/>
              <w:bottom w:val="single" w:color="000000" w:sz="6" w:space="0"/>
            </w:tcBorders>
            <w:vAlign w:val="top"/>
          </w:tcPr>
          <w:p w14:paraId="6957297C">
            <w:pPr>
              <w:pStyle w:val="16"/>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根据投标人提供的针对本项目的配送服务方案（包括但不限于：运送要求、配送时效、食材存放、车辆卫生等）进行评审：</w:t>
            </w:r>
          </w:p>
          <w:p w14:paraId="636F9080">
            <w:pPr>
              <w:pStyle w:val="16"/>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1、配送方案非常详细完善，运输工具定期消毒、堆放科学、合理，货品容器非常干净整洁、卸货方式可行性强，配送时间优于本项目采购需求要求的，得</w:t>
            </w:r>
            <w:r>
              <w:rPr>
                <w:rFonts w:hint="eastAsia" w:ascii="仿宋" w:hAnsi="仿宋" w:eastAsia="仿宋" w:cs="仿宋"/>
                <w:color w:val="auto"/>
                <w:sz w:val="28"/>
                <w:szCs w:val="28"/>
                <w:highlight w:val="none"/>
                <w:lang w:val="en-US" w:eastAsia="zh-CN"/>
              </w:rPr>
              <w:t>8</w:t>
            </w:r>
            <w:r>
              <w:rPr>
                <w:rFonts w:hint="eastAsia" w:ascii="仿宋" w:hAnsi="仿宋" w:eastAsia="仿宋" w:cs="仿宋"/>
                <w:color w:val="auto"/>
                <w:sz w:val="28"/>
                <w:szCs w:val="28"/>
                <w:highlight w:val="none"/>
              </w:rPr>
              <w:t>分；</w:t>
            </w:r>
          </w:p>
          <w:p w14:paraId="04E3981F">
            <w:pPr>
              <w:pStyle w:val="16"/>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2、配送方案详细完善，运输工具定期消毒、堆放较科学、合理，货品容器干净整洁、卸货方式可行性强，配送时间符合本项目采购需求要求的，得</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分；</w:t>
            </w:r>
          </w:p>
          <w:p w14:paraId="1316BA0D">
            <w:pPr>
              <w:pStyle w:val="16"/>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3、配送方案较完整，运输工具干净，货品容器卫生，卸货方式可行性较一般，配送时间基本符合本项目采购需求要求的，得</w:t>
            </w:r>
            <w:r>
              <w:rPr>
                <w:rFonts w:hint="eastAsia" w:ascii="仿宋" w:hAnsi="仿宋" w:eastAsia="仿宋" w:cs="仿宋"/>
                <w:color w:val="auto"/>
                <w:sz w:val="28"/>
                <w:szCs w:val="28"/>
                <w:highlight w:val="none"/>
                <w:lang w:val="en-US" w:eastAsia="zh-CN"/>
              </w:rPr>
              <w:t>3</w:t>
            </w:r>
            <w:r>
              <w:rPr>
                <w:rFonts w:hint="eastAsia" w:ascii="仿宋" w:hAnsi="仿宋" w:eastAsia="仿宋" w:cs="仿宋"/>
                <w:color w:val="auto"/>
                <w:sz w:val="28"/>
                <w:szCs w:val="28"/>
                <w:highlight w:val="none"/>
              </w:rPr>
              <w:t>分；</w:t>
            </w:r>
          </w:p>
          <w:p w14:paraId="6928D3D4">
            <w:pPr>
              <w:pStyle w:val="16"/>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4、配送方案简略，运输工具、货品容器清洁度较差，配送时效合理，难以满足本项目采购需求要求的，得1分；</w:t>
            </w:r>
          </w:p>
          <w:p w14:paraId="78CD4433">
            <w:pPr>
              <w:pStyle w:val="16"/>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5、未提供相关方案的，得0分。</w:t>
            </w:r>
          </w:p>
        </w:tc>
      </w:tr>
      <w:tr w14:paraId="37A942B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0" w:hRule="atLeast"/>
          <w:jc w:val="center"/>
        </w:trPr>
        <w:tc>
          <w:tcPr>
            <w:tcW w:w="459" w:type="pct"/>
            <w:vMerge w:val="continue"/>
            <w:vAlign w:val="center"/>
          </w:tcPr>
          <w:p w14:paraId="5BB58028">
            <w:pPr>
              <w:keepNext w:val="0"/>
              <w:keepLines w:val="0"/>
              <w:pageBreakBefore w:val="0"/>
              <w:kinsoku/>
              <w:wordWrap/>
              <w:overflowPunct/>
              <w:topLinePunct w:val="0"/>
              <w:autoSpaceDE/>
              <w:autoSpaceDN/>
              <w:bidi w:val="0"/>
              <w:adjustRightInd/>
              <w:snapToGrid/>
              <w:jc w:val="center"/>
              <w:textAlignment w:val="auto"/>
              <w:rPr>
                <w:rFonts w:hint="eastAsia" w:ascii="仿宋" w:hAnsi="仿宋" w:eastAsia="仿宋" w:cs="仿宋"/>
                <w:color w:val="auto"/>
                <w:sz w:val="28"/>
                <w:szCs w:val="28"/>
                <w:highlight w:val="none"/>
              </w:rPr>
            </w:pPr>
          </w:p>
        </w:tc>
        <w:tc>
          <w:tcPr>
            <w:tcW w:w="575" w:type="pct"/>
            <w:tcBorders>
              <w:top w:val="single" w:color="000000" w:sz="6" w:space="0"/>
              <w:bottom w:val="single" w:color="000000" w:sz="6" w:space="0"/>
            </w:tcBorders>
            <w:vAlign w:val="center"/>
          </w:tcPr>
          <w:p w14:paraId="22815D63">
            <w:pPr>
              <w:pStyle w:val="16"/>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售后服务方案</w:t>
            </w:r>
          </w:p>
          <w:p w14:paraId="14750842">
            <w:pPr>
              <w:pStyle w:val="16"/>
              <w:jc w:val="center"/>
              <w:rPr>
                <w:rFonts w:hint="eastAsia" w:ascii="仿宋" w:hAnsi="仿宋" w:eastAsia="仿宋" w:cs="仿宋"/>
                <w:color w:val="auto"/>
                <w:kern w:val="2"/>
                <w:sz w:val="28"/>
                <w:szCs w:val="28"/>
                <w:highlight w:val="none"/>
                <w:lang w:val="zh-CN" w:eastAsia="zh-CN" w:bidi="zh-CN"/>
              </w:rPr>
            </w:pP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8</w:t>
            </w:r>
            <w:r>
              <w:rPr>
                <w:rFonts w:hint="eastAsia" w:ascii="仿宋" w:hAnsi="仿宋" w:eastAsia="仿宋" w:cs="仿宋"/>
                <w:color w:val="auto"/>
                <w:sz w:val="28"/>
                <w:szCs w:val="28"/>
                <w:highlight w:val="none"/>
              </w:rPr>
              <w:t>.0分)</w:t>
            </w:r>
          </w:p>
        </w:tc>
        <w:tc>
          <w:tcPr>
            <w:tcW w:w="3964" w:type="pct"/>
            <w:tcBorders>
              <w:top w:val="single" w:color="000000" w:sz="6" w:space="0"/>
              <w:bottom w:val="single" w:color="000000" w:sz="6" w:space="0"/>
            </w:tcBorders>
            <w:vAlign w:val="top"/>
          </w:tcPr>
          <w:p w14:paraId="4122F7D9">
            <w:pPr>
              <w:pStyle w:val="16"/>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根据投标人提供的售后服务方案（包括但不限于：专线售后服务管理方案，专人服务，专人跟踪、售后服务时间安排、其它服务承诺）进行评审：</w:t>
            </w:r>
          </w:p>
          <w:p w14:paraId="1A08AD40">
            <w:pPr>
              <w:pStyle w:val="16"/>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1、售后服务方案科学完整，服务承诺完全满足招标文件要求，</w:t>
            </w:r>
            <w:r>
              <w:rPr>
                <w:rFonts w:hint="eastAsia" w:ascii="仿宋" w:hAnsi="仿宋" w:eastAsia="仿宋" w:cs="仿宋"/>
                <w:color w:val="auto"/>
                <w:sz w:val="28"/>
                <w:szCs w:val="28"/>
                <w:highlight w:val="none"/>
                <w:lang w:val="en-US" w:eastAsia="zh-CN"/>
              </w:rPr>
              <w:t>售后服务人员充足、同类项目经验丰富</w:t>
            </w:r>
            <w:r>
              <w:rPr>
                <w:rFonts w:hint="eastAsia" w:ascii="仿宋" w:hAnsi="仿宋" w:eastAsia="仿宋" w:cs="仿宋"/>
                <w:color w:val="auto"/>
                <w:sz w:val="28"/>
                <w:szCs w:val="28"/>
                <w:highlight w:val="none"/>
              </w:rPr>
              <w:t>，售后服务点技术力量十分雄厚的，得</w:t>
            </w:r>
            <w:r>
              <w:rPr>
                <w:rFonts w:hint="eastAsia" w:ascii="仿宋" w:hAnsi="仿宋" w:eastAsia="仿宋" w:cs="仿宋"/>
                <w:color w:val="auto"/>
                <w:sz w:val="28"/>
                <w:szCs w:val="28"/>
                <w:highlight w:val="none"/>
                <w:lang w:val="en-US" w:eastAsia="zh-CN"/>
              </w:rPr>
              <w:t>8</w:t>
            </w:r>
            <w:r>
              <w:rPr>
                <w:rFonts w:hint="eastAsia" w:ascii="仿宋" w:hAnsi="仿宋" w:eastAsia="仿宋" w:cs="仿宋"/>
                <w:color w:val="auto"/>
                <w:sz w:val="28"/>
                <w:szCs w:val="28"/>
                <w:highlight w:val="none"/>
              </w:rPr>
              <w:t>分；</w:t>
            </w:r>
          </w:p>
          <w:p w14:paraId="2B7D2855">
            <w:pPr>
              <w:pStyle w:val="16"/>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2、售后服务方案比较完整，服务承诺符合招标文件要求的，</w:t>
            </w:r>
            <w:r>
              <w:rPr>
                <w:rFonts w:hint="eastAsia" w:ascii="仿宋" w:hAnsi="仿宋" w:eastAsia="仿宋" w:cs="仿宋"/>
                <w:color w:val="auto"/>
                <w:sz w:val="28"/>
                <w:szCs w:val="28"/>
                <w:highlight w:val="none"/>
                <w:lang w:val="en-US" w:eastAsia="zh-CN"/>
              </w:rPr>
              <w:t>售后服务人员较为充足、有一定同类项目经验</w:t>
            </w:r>
            <w:r>
              <w:rPr>
                <w:rFonts w:hint="eastAsia" w:ascii="仿宋" w:hAnsi="仿宋" w:eastAsia="仿宋" w:cs="仿宋"/>
                <w:color w:val="auto"/>
                <w:sz w:val="28"/>
                <w:szCs w:val="28"/>
                <w:highlight w:val="none"/>
              </w:rPr>
              <w:t>，售后服务点技术力量雄厚的，得</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分；</w:t>
            </w:r>
          </w:p>
          <w:p w14:paraId="1E0DFE2B">
            <w:pPr>
              <w:pStyle w:val="16"/>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3、售后服务方案基本完整，服务承诺基本满足招标文件要求的，</w:t>
            </w:r>
            <w:r>
              <w:rPr>
                <w:rFonts w:hint="eastAsia" w:ascii="仿宋" w:hAnsi="仿宋" w:eastAsia="仿宋" w:cs="仿宋"/>
                <w:color w:val="auto"/>
                <w:sz w:val="28"/>
                <w:szCs w:val="28"/>
                <w:highlight w:val="none"/>
                <w:lang w:val="en-US" w:eastAsia="zh-CN"/>
              </w:rPr>
              <w:t>售后服务人员有一定同类项目经验</w:t>
            </w:r>
            <w:r>
              <w:rPr>
                <w:rFonts w:hint="eastAsia" w:ascii="仿宋" w:hAnsi="仿宋" w:eastAsia="仿宋" w:cs="仿宋"/>
                <w:color w:val="auto"/>
                <w:sz w:val="28"/>
                <w:szCs w:val="28"/>
                <w:highlight w:val="none"/>
              </w:rPr>
              <w:t>，售后服务点技术力量较一般，得</w:t>
            </w:r>
            <w:r>
              <w:rPr>
                <w:rFonts w:hint="eastAsia" w:ascii="仿宋" w:hAnsi="仿宋" w:eastAsia="仿宋" w:cs="仿宋"/>
                <w:color w:val="auto"/>
                <w:sz w:val="28"/>
                <w:szCs w:val="28"/>
                <w:highlight w:val="none"/>
                <w:lang w:val="en-US" w:eastAsia="zh-CN"/>
              </w:rPr>
              <w:t>3</w:t>
            </w:r>
            <w:r>
              <w:rPr>
                <w:rFonts w:hint="eastAsia" w:ascii="仿宋" w:hAnsi="仿宋" w:eastAsia="仿宋" w:cs="仿宋"/>
                <w:color w:val="auto"/>
                <w:sz w:val="28"/>
                <w:szCs w:val="28"/>
                <w:highlight w:val="none"/>
              </w:rPr>
              <w:t>分；</w:t>
            </w:r>
          </w:p>
          <w:p w14:paraId="000E6743">
            <w:pPr>
              <w:pStyle w:val="16"/>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4、售后服务方案简略，</w:t>
            </w:r>
            <w:r>
              <w:rPr>
                <w:rFonts w:hint="eastAsia" w:ascii="仿宋" w:hAnsi="仿宋" w:eastAsia="仿宋" w:cs="仿宋"/>
                <w:color w:val="auto"/>
                <w:sz w:val="28"/>
                <w:szCs w:val="28"/>
                <w:highlight w:val="none"/>
                <w:lang w:val="en-US" w:eastAsia="zh-CN"/>
              </w:rPr>
              <w:t>售后服务人员经验不足</w:t>
            </w:r>
            <w:r>
              <w:rPr>
                <w:rFonts w:hint="eastAsia" w:ascii="仿宋" w:hAnsi="仿宋" w:eastAsia="仿宋" w:cs="仿宋"/>
                <w:color w:val="auto"/>
                <w:sz w:val="28"/>
                <w:szCs w:val="28"/>
                <w:highlight w:val="none"/>
              </w:rPr>
              <w:t>，售后服务点技术力量弱的，得1分；</w:t>
            </w:r>
          </w:p>
          <w:p w14:paraId="6A8762F6">
            <w:pPr>
              <w:pStyle w:val="16"/>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kern w:val="2"/>
                <w:sz w:val="28"/>
                <w:szCs w:val="28"/>
                <w:highlight w:val="none"/>
                <w:lang w:val="zh-CN" w:eastAsia="zh-CN" w:bidi="zh-CN"/>
              </w:rPr>
            </w:pPr>
            <w:r>
              <w:rPr>
                <w:rFonts w:hint="eastAsia" w:ascii="仿宋" w:hAnsi="仿宋" w:eastAsia="仿宋" w:cs="仿宋"/>
                <w:color w:val="auto"/>
                <w:sz w:val="28"/>
                <w:szCs w:val="28"/>
                <w:highlight w:val="none"/>
              </w:rPr>
              <w:t>5、未提供相关方案的，得0分。</w:t>
            </w:r>
          </w:p>
        </w:tc>
      </w:tr>
      <w:tr w14:paraId="59D239E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0" w:hRule="atLeast"/>
          <w:jc w:val="center"/>
        </w:trPr>
        <w:tc>
          <w:tcPr>
            <w:tcW w:w="459" w:type="pct"/>
            <w:vMerge w:val="continue"/>
            <w:vAlign w:val="center"/>
          </w:tcPr>
          <w:p w14:paraId="2C186323">
            <w:pPr>
              <w:keepNext w:val="0"/>
              <w:keepLines w:val="0"/>
              <w:pageBreakBefore w:val="0"/>
              <w:kinsoku/>
              <w:wordWrap/>
              <w:overflowPunct/>
              <w:topLinePunct w:val="0"/>
              <w:autoSpaceDE/>
              <w:autoSpaceDN/>
              <w:bidi w:val="0"/>
              <w:adjustRightInd/>
              <w:snapToGrid/>
              <w:jc w:val="center"/>
              <w:textAlignment w:val="auto"/>
              <w:rPr>
                <w:rFonts w:hint="eastAsia" w:ascii="仿宋" w:hAnsi="仿宋" w:eastAsia="仿宋" w:cs="仿宋"/>
                <w:color w:val="auto"/>
                <w:sz w:val="28"/>
                <w:szCs w:val="28"/>
                <w:highlight w:val="none"/>
              </w:rPr>
            </w:pPr>
          </w:p>
        </w:tc>
        <w:tc>
          <w:tcPr>
            <w:tcW w:w="575" w:type="pct"/>
            <w:tcBorders>
              <w:top w:val="single" w:color="000000" w:sz="6" w:space="0"/>
              <w:bottom w:val="single" w:color="000000" w:sz="6" w:space="0"/>
            </w:tcBorders>
            <w:vAlign w:val="center"/>
          </w:tcPr>
          <w:p w14:paraId="07B50509">
            <w:pPr>
              <w:pStyle w:val="16"/>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规章和管理制度</w:t>
            </w:r>
          </w:p>
          <w:p w14:paraId="1B36763C">
            <w:pPr>
              <w:pStyle w:val="16"/>
              <w:jc w:val="center"/>
              <w:rPr>
                <w:rFonts w:hint="eastAsia" w:ascii="仿宋" w:hAnsi="仿宋" w:eastAsia="仿宋" w:cs="仿宋"/>
                <w:color w:val="auto"/>
                <w:w w:val="101"/>
                <w:sz w:val="28"/>
                <w:szCs w:val="28"/>
                <w:highlight w:val="none"/>
              </w:rPr>
            </w:pP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8</w:t>
            </w:r>
            <w:r>
              <w:rPr>
                <w:rFonts w:hint="eastAsia" w:ascii="仿宋" w:hAnsi="仿宋" w:eastAsia="仿宋" w:cs="仿宋"/>
                <w:color w:val="auto"/>
                <w:sz w:val="28"/>
                <w:szCs w:val="28"/>
                <w:highlight w:val="none"/>
              </w:rPr>
              <w:t>.0分)</w:t>
            </w:r>
          </w:p>
        </w:tc>
        <w:tc>
          <w:tcPr>
            <w:tcW w:w="3964" w:type="pct"/>
            <w:tcBorders>
              <w:top w:val="single" w:color="000000" w:sz="6" w:space="0"/>
              <w:bottom w:val="single" w:color="000000" w:sz="6" w:space="0"/>
            </w:tcBorders>
            <w:vAlign w:val="top"/>
          </w:tcPr>
          <w:p w14:paraId="2AA3C60C">
            <w:pPr>
              <w:pStyle w:val="16"/>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根据投标人提供的规章和管理制度（包括但不限于：服务标准、泄密管理、仪容仪表规范及人员奖惩制度等）进行评审：</w:t>
            </w:r>
          </w:p>
          <w:p w14:paraId="36DFABF4">
            <w:pPr>
              <w:pStyle w:val="16"/>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1、服务标准清晰明确且可行性强，泄密管理制度合法有效，对服务人员仪容仪表有具体的要求和考核方法，对服务人员服务表现制定了成熟完整的奖惩制度，能完全满足本项目采购需求要求的，得</w:t>
            </w:r>
            <w:r>
              <w:rPr>
                <w:rFonts w:hint="eastAsia" w:ascii="仿宋" w:hAnsi="仿宋" w:eastAsia="仿宋" w:cs="仿宋"/>
                <w:color w:val="auto"/>
                <w:sz w:val="28"/>
                <w:szCs w:val="28"/>
                <w:highlight w:val="none"/>
                <w:lang w:val="en-US" w:eastAsia="zh-CN"/>
              </w:rPr>
              <w:t>8</w:t>
            </w:r>
            <w:r>
              <w:rPr>
                <w:rFonts w:hint="eastAsia" w:ascii="仿宋" w:hAnsi="仿宋" w:eastAsia="仿宋" w:cs="仿宋"/>
                <w:color w:val="auto"/>
                <w:sz w:val="28"/>
                <w:szCs w:val="28"/>
                <w:highlight w:val="none"/>
              </w:rPr>
              <w:t>分；</w:t>
            </w:r>
          </w:p>
          <w:p w14:paraId="42DA530E">
            <w:pPr>
              <w:pStyle w:val="16"/>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2、服务标准清晰明确且较为可行，泄密管理制度合法，对服务人员仪容仪表有具体的要求，对服务人员服务表现制定了完整的奖惩制度，能满足本项目采购需求要求的，得</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分；</w:t>
            </w:r>
          </w:p>
          <w:p w14:paraId="7D9BB0C2">
            <w:pPr>
              <w:pStyle w:val="16"/>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3、服务标准基本可行，泄密管理制度合法，对服务人员仪容仪表有一定的要求，对服务人员服务表现制定了部分奖惩制度，基本能满足本项目采购需求要求的，得</w:t>
            </w:r>
            <w:r>
              <w:rPr>
                <w:rFonts w:hint="eastAsia" w:ascii="仿宋" w:hAnsi="仿宋" w:eastAsia="仿宋" w:cs="仿宋"/>
                <w:color w:val="auto"/>
                <w:sz w:val="28"/>
                <w:szCs w:val="28"/>
                <w:highlight w:val="none"/>
                <w:lang w:val="en-US" w:eastAsia="zh-CN"/>
              </w:rPr>
              <w:t>3</w:t>
            </w:r>
            <w:r>
              <w:rPr>
                <w:rFonts w:hint="eastAsia" w:ascii="仿宋" w:hAnsi="仿宋" w:eastAsia="仿宋" w:cs="仿宋"/>
                <w:color w:val="auto"/>
                <w:sz w:val="28"/>
                <w:szCs w:val="28"/>
                <w:highlight w:val="none"/>
              </w:rPr>
              <w:t>分；</w:t>
            </w:r>
          </w:p>
          <w:p w14:paraId="510BA6F6">
            <w:pPr>
              <w:pStyle w:val="16"/>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4、服务标准难以执行，泄密管理制度合法，对服务人员仪容仪表要求不合理，对服务人员服务表现没有制定奖惩制度，难以能满足本项目采购需求要求的，得1分；</w:t>
            </w:r>
          </w:p>
          <w:p w14:paraId="19F270B1">
            <w:pPr>
              <w:pStyle w:val="16"/>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5、未提供相关制度的，得0分。</w:t>
            </w:r>
          </w:p>
        </w:tc>
      </w:tr>
      <w:tr w14:paraId="44D678B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0" w:hRule="atLeast"/>
          <w:jc w:val="center"/>
        </w:trPr>
        <w:tc>
          <w:tcPr>
            <w:tcW w:w="459" w:type="pct"/>
            <w:vMerge w:val="continue"/>
            <w:vAlign w:val="center"/>
          </w:tcPr>
          <w:p w14:paraId="60BF56CE">
            <w:pPr>
              <w:keepNext w:val="0"/>
              <w:keepLines w:val="0"/>
              <w:pageBreakBefore w:val="0"/>
              <w:kinsoku/>
              <w:wordWrap/>
              <w:overflowPunct/>
              <w:topLinePunct w:val="0"/>
              <w:autoSpaceDE/>
              <w:autoSpaceDN/>
              <w:bidi w:val="0"/>
              <w:adjustRightInd/>
              <w:snapToGrid/>
              <w:jc w:val="center"/>
              <w:textAlignment w:val="auto"/>
              <w:rPr>
                <w:rFonts w:hint="eastAsia" w:ascii="仿宋" w:hAnsi="仿宋" w:eastAsia="仿宋" w:cs="仿宋"/>
                <w:color w:val="auto"/>
                <w:sz w:val="28"/>
                <w:szCs w:val="28"/>
                <w:highlight w:val="none"/>
              </w:rPr>
            </w:pPr>
          </w:p>
        </w:tc>
        <w:tc>
          <w:tcPr>
            <w:tcW w:w="575" w:type="pct"/>
            <w:tcBorders>
              <w:top w:val="single" w:color="000000" w:sz="6" w:space="0"/>
              <w:bottom w:val="single" w:color="000000" w:sz="6" w:space="0"/>
            </w:tcBorders>
            <w:vAlign w:val="center"/>
          </w:tcPr>
          <w:p w14:paraId="56F2EE3A">
            <w:pPr>
              <w:pStyle w:val="16"/>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应急处置措施</w:t>
            </w:r>
          </w:p>
          <w:p w14:paraId="48DE3C85">
            <w:pPr>
              <w:pStyle w:val="16"/>
              <w:jc w:val="center"/>
              <w:rPr>
                <w:rFonts w:hint="eastAsia" w:ascii="仿宋" w:hAnsi="仿宋" w:eastAsia="仿宋" w:cs="仿宋"/>
                <w:color w:val="auto"/>
                <w:w w:val="101"/>
                <w:sz w:val="28"/>
                <w:szCs w:val="28"/>
                <w:highlight w:val="none"/>
              </w:rPr>
            </w:pP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8</w:t>
            </w:r>
            <w:r>
              <w:rPr>
                <w:rFonts w:hint="eastAsia" w:ascii="仿宋" w:hAnsi="仿宋" w:eastAsia="仿宋" w:cs="仿宋"/>
                <w:color w:val="auto"/>
                <w:sz w:val="28"/>
                <w:szCs w:val="28"/>
                <w:highlight w:val="none"/>
              </w:rPr>
              <w:t>.0分)</w:t>
            </w:r>
          </w:p>
        </w:tc>
        <w:tc>
          <w:tcPr>
            <w:tcW w:w="3964" w:type="pct"/>
            <w:tcBorders>
              <w:top w:val="single" w:color="000000" w:sz="6" w:space="0"/>
              <w:bottom w:val="single" w:color="000000" w:sz="6" w:space="0"/>
            </w:tcBorders>
            <w:vAlign w:val="top"/>
          </w:tcPr>
          <w:p w14:paraId="44942F30">
            <w:pPr>
              <w:pStyle w:val="16"/>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根据投标人针对食材仓储、分拣、配送中可能出现的突发情况（包括但不限于：突发停电、台风、暴雨、火灾等导致的仓储、分拣、配送困难或食材短缺；突发车辆故障、交通事故、临时封路等导致的配送困难等情形）制定的应急处置措施进行评审：</w:t>
            </w:r>
          </w:p>
          <w:p w14:paraId="1ED2015F">
            <w:pPr>
              <w:pStyle w:val="16"/>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1、投标人对仓储、分拣、配送中可能出现的突发情况考虑全面、与本项目采购需求契合且具有针对性，提供的应急处置措施科学详尽、可行性强，能完全消除各类突发情况对履约的负面影响的，得</w:t>
            </w:r>
            <w:r>
              <w:rPr>
                <w:rFonts w:hint="eastAsia" w:ascii="仿宋" w:hAnsi="仿宋" w:eastAsia="仿宋" w:cs="仿宋"/>
                <w:color w:val="auto"/>
                <w:sz w:val="28"/>
                <w:szCs w:val="28"/>
                <w:highlight w:val="none"/>
                <w:lang w:val="en-US" w:eastAsia="zh-CN"/>
              </w:rPr>
              <w:t>8</w:t>
            </w:r>
            <w:r>
              <w:rPr>
                <w:rFonts w:hint="eastAsia" w:ascii="仿宋" w:hAnsi="仿宋" w:eastAsia="仿宋" w:cs="仿宋"/>
                <w:color w:val="auto"/>
                <w:sz w:val="28"/>
                <w:szCs w:val="28"/>
                <w:highlight w:val="none"/>
              </w:rPr>
              <w:t>分；</w:t>
            </w:r>
          </w:p>
          <w:p w14:paraId="045364CC">
            <w:pPr>
              <w:pStyle w:val="16"/>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2、投标人对仓储、分拣、配送中可能出现的突发情况考虑较为全面、与本项目采购需求契合，提供的应急处置措施完整且可行性较强，能基本消除各类突发情况对履约的负面影响的，得</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分；</w:t>
            </w:r>
          </w:p>
          <w:p w14:paraId="02D7CF7F">
            <w:pPr>
              <w:pStyle w:val="16"/>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3、投标人对仓储、分拣、配送中可能出现的突发情况考虑一般，提供的应急处置措施有一定可行性，能消除部分各类突发情况对履约的负面影响的，得</w:t>
            </w:r>
            <w:r>
              <w:rPr>
                <w:rFonts w:hint="eastAsia" w:ascii="仿宋" w:hAnsi="仿宋" w:eastAsia="仿宋" w:cs="仿宋"/>
                <w:color w:val="auto"/>
                <w:sz w:val="28"/>
                <w:szCs w:val="28"/>
                <w:highlight w:val="none"/>
                <w:lang w:val="en-US" w:eastAsia="zh-CN"/>
              </w:rPr>
              <w:t>3</w:t>
            </w:r>
            <w:r>
              <w:rPr>
                <w:rFonts w:hint="eastAsia" w:ascii="仿宋" w:hAnsi="仿宋" w:eastAsia="仿宋" w:cs="仿宋"/>
                <w:color w:val="auto"/>
                <w:sz w:val="28"/>
                <w:szCs w:val="28"/>
                <w:highlight w:val="none"/>
              </w:rPr>
              <w:t>分；</w:t>
            </w:r>
          </w:p>
          <w:p w14:paraId="08E09585">
            <w:pPr>
              <w:pStyle w:val="16"/>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4、投标人对仓储、分拣、配送中可能出现的突发情况考虑不足，提供的应急处置措施不够可行，几乎不能消除各类突发情况对履约的负面影响的，得1分；</w:t>
            </w:r>
          </w:p>
          <w:p w14:paraId="512CDA37">
            <w:pPr>
              <w:pStyle w:val="16"/>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5、未提供相关措施的，得0分。</w:t>
            </w:r>
          </w:p>
        </w:tc>
      </w:tr>
      <w:tr w14:paraId="6C8BDC1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0" w:hRule="atLeast"/>
          <w:jc w:val="center"/>
        </w:trPr>
        <w:tc>
          <w:tcPr>
            <w:tcW w:w="459" w:type="pct"/>
            <w:vMerge w:val="restart"/>
            <w:tcBorders>
              <w:top w:val="single" w:color="000000" w:sz="6" w:space="0"/>
            </w:tcBorders>
            <w:vAlign w:val="center"/>
          </w:tcPr>
          <w:p w14:paraId="61F425E4">
            <w:pPr>
              <w:keepNext w:val="0"/>
              <w:keepLines w:val="0"/>
              <w:pageBreakBefore w:val="0"/>
              <w:kinsoku/>
              <w:wordWrap/>
              <w:overflowPunct/>
              <w:topLinePunct w:val="0"/>
              <w:autoSpaceDE/>
              <w:autoSpaceDN/>
              <w:bidi w:val="0"/>
              <w:adjustRightInd/>
              <w:snapToGrid/>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商务部分</w:t>
            </w:r>
          </w:p>
        </w:tc>
        <w:tc>
          <w:tcPr>
            <w:tcW w:w="575" w:type="pct"/>
            <w:tcBorders>
              <w:top w:val="single" w:color="000000" w:sz="6" w:space="0"/>
              <w:bottom w:val="single" w:color="000000" w:sz="6" w:space="0"/>
            </w:tcBorders>
            <w:vAlign w:val="center"/>
          </w:tcPr>
          <w:p w14:paraId="58C02C17">
            <w:pPr>
              <w:keepNext w:val="0"/>
              <w:keepLines w:val="0"/>
              <w:pageBreakBefore w:val="0"/>
              <w:kinsoku/>
              <w:wordWrap/>
              <w:overflowPunct/>
              <w:topLinePunct w:val="0"/>
              <w:autoSpaceDE/>
              <w:autoSpaceDN/>
              <w:bidi w:val="0"/>
              <w:adjustRightInd/>
              <w:snapToGrid/>
              <w:jc w:val="center"/>
              <w:textAlignment w:val="auto"/>
              <w:rPr>
                <w:rFonts w:hint="eastAsia" w:ascii="仿宋" w:hAnsi="仿宋" w:eastAsia="仿宋" w:cs="仿宋"/>
                <w:color w:val="auto"/>
                <w:kern w:val="2"/>
                <w:sz w:val="28"/>
                <w:szCs w:val="28"/>
                <w:highlight w:val="none"/>
                <w:lang w:val="zh-CN" w:eastAsia="zh-CN" w:bidi="zh-CN"/>
              </w:rPr>
            </w:pPr>
            <w:r>
              <w:rPr>
                <w:rFonts w:hint="eastAsia" w:ascii="仿宋" w:hAnsi="仿宋" w:eastAsia="仿宋" w:cs="仿宋"/>
                <w:color w:val="auto"/>
                <w:kern w:val="2"/>
                <w:sz w:val="28"/>
                <w:szCs w:val="28"/>
                <w:highlight w:val="none"/>
                <w:lang w:val="zh-CN" w:eastAsia="zh-CN" w:bidi="zh-CN"/>
              </w:rPr>
              <w:t>相关业绩</w:t>
            </w:r>
          </w:p>
          <w:p w14:paraId="7DA39E08">
            <w:pPr>
              <w:keepNext w:val="0"/>
              <w:keepLines w:val="0"/>
              <w:pageBreakBefore w:val="0"/>
              <w:kinsoku/>
              <w:wordWrap/>
              <w:overflowPunct/>
              <w:topLinePunct w:val="0"/>
              <w:autoSpaceDE/>
              <w:autoSpaceDN/>
              <w:bidi w:val="0"/>
              <w:adjustRightInd/>
              <w:snapToGrid/>
              <w:jc w:val="center"/>
              <w:textAlignment w:val="auto"/>
              <w:rPr>
                <w:rFonts w:hint="eastAsia" w:ascii="仿宋" w:hAnsi="仿宋" w:eastAsia="仿宋" w:cs="仿宋"/>
                <w:color w:val="auto"/>
                <w:kern w:val="2"/>
                <w:sz w:val="28"/>
                <w:szCs w:val="28"/>
                <w:highlight w:val="none"/>
                <w:lang w:val="zh-CN" w:eastAsia="zh-CN" w:bidi="zh-CN"/>
              </w:rPr>
            </w:pPr>
            <w:r>
              <w:rPr>
                <w:rFonts w:hint="eastAsia" w:ascii="仿宋" w:hAnsi="仿宋" w:eastAsia="仿宋" w:cs="仿宋"/>
                <w:color w:val="auto"/>
                <w:kern w:val="2"/>
                <w:sz w:val="28"/>
                <w:szCs w:val="28"/>
                <w:highlight w:val="none"/>
                <w:lang w:val="zh-CN" w:eastAsia="zh-CN" w:bidi="zh-CN"/>
              </w:rPr>
              <w:t>(</w:t>
            </w:r>
            <w:r>
              <w:rPr>
                <w:rFonts w:hint="eastAsia" w:ascii="仿宋" w:hAnsi="仿宋" w:eastAsia="仿宋" w:cs="仿宋"/>
                <w:color w:val="auto"/>
                <w:kern w:val="2"/>
                <w:sz w:val="28"/>
                <w:szCs w:val="28"/>
                <w:highlight w:val="none"/>
                <w:lang w:val="en-US" w:eastAsia="zh-CN" w:bidi="zh-CN"/>
              </w:rPr>
              <w:t>10</w:t>
            </w:r>
            <w:r>
              <w:rPr>
                <w:rFonts w:hint="eastAsia" w:ascii="仿宋" w:hAnsi="仿宋" w:eastAsia="仿宋" w:cs="仿宋"/>
                <w:color w:val="auto"/>
                <w:kern w:val="2"/>
                <w:sz w:val="28"/>
                <w:szCs w:val="28"/>
                <w:highlight w:val="none"/>
                <w:lang w:val="zh-CN" w:eastAsia="zh-CN" w:bidi="zh-CN"/>
              </w:rPr>
              <w:t>.0分)</w:t>
            </w:r>
          </w:p>
        </w:tc>
        <w:tc>
          <w:tcPr>
            <w:tcW w:w="3964" w:type="pct"/>
            <w:tcBorders>
              <w:top w:val="single" w:color="000000" w:sz="6" w:space="0"/>
              <w:bottom w:val="single" w:color="000000" w:sz="6" w:space="0"/>
            </w:tcBorders>
            <w:vAlign w:val="top"/>
          </w:tcPr>
          <w:p w14:paraId="2B8230EC">
            <w:pPr>
              <w:keepNext w:val="0"/>
              <w:keepLines w:val="0"/>
              <w:pageBreakBefore w:val="0"/>
              <w:widowControl w:val="0"/>
              <w:kinsoku/>
              <w:wordWrap/>
              <w:overflowPunct/>
              <w:topLinePunct w:val="0"/>
              <w:autoSpaceDE/>
              <w:autoSpaceDN/>
              <w:bidi w:val="0"/>
              <w:adjustRightInd/>
              <w:snapToGrid/>
              <w:spacing w:line="360" w:lineRule="auto"/>
              <w:ind w:left="0" w:right="0"/>
              <w:jc w:val="left"/>
              <w:textAlignment w:val="auto"/>
              <w:rPr>
                <w:rFonts w:hint="eastAsia" w:ascii="仿宋" w:hAnsi="仿宋" w:eastAsia="仿宋" w:cs="仿宋"/>
                <w:color w:val="auto"/>
                <w:kern w:val="2"/>
                <w:sz w:val="28"/>
                <w:szCs w:val="28"/>
                <w:highlight w:val="none"/>
                <w:lang w:val="zh-CN" w:eastAsia="zh-CN" w:bidi="zh-CN"/>
              </w:rPr>
            </w:pPr>
            <w:r>
              <w:rPr>
                <w:rFonts w:hint="eastAsia" w:ascii="仿宋" w:hAnsi="仿宋" w:eastAsia="仿宋" w:cs="仿宋"/>
                <w:color w:val="auto"/>
                <w:kern w:val="2"/>
                <w:sz w:val="28"/>
                <w:szCs w:val="28"/>
                <w:highlight w:val="none"/>
                <w:lang w:val="zh-CN" w:eastAsia="zh-CN" w:bidi="zh-CN"/>
              </w:rPr>
              <w:t>根据投标人具有的食材配送类项目业绩进行评审：每提供一个得</w:t>
            </w:r>
            <w:r>
              <w:rPr>
                <w:rFonts w:hint="eastAsia" w:ascii="仿宋" w:hAnsi="仿宋" w:eastAsia="仿宋" w:cs="仿宋"/>
                <w:color w:val="auto"/>
                <w:kern w:val="2"/>
                <w:sz w:val="28"/>
                <w:szCs w:val="28"/>
                <w:highlight w:val="none"/>
                <w:lang w:val="en-US" w:eastAsia="zh-CN" w:bidi="zh-CN"/>
              </w:rPr>
              <w:t>2</w:t>
            </w:r>
            <w:r>
              <w:rPr>
                <w:rFonts w:hint="eastAsia" w:ascii="仿宋" w:hAnsi="仿宋" w:eastAsia="仿宋" w:cs="仿宋"/>
                <w:color w:val="auto"/>
                <w:kern w:val="2"/>
                <w:sz w:val="28"/>
                <w:szCs w:val="28"/>
                <w:highlight w:val="none"/>
                <w:lang w:val="zh-CN" w:eastAsia="zh-CN" w:bidi="zh-CN"/>
              </w:rPr>
              <w:t>分，本项最高得</w:t>
            </w:r>
            <w:r>
              <w:rPr>
                <w:rFonts w:hint="eastAsia" w:ascii="仿宋" w:hAnsi="仿宋" w:eastAsia="仿宋" w:cs="仿宋"/>
                <w:color w:val="auto"/>
                <w:kern w:val="2"/>
                <w:sz w:val="28"/>
                <w:szCs w:val="28"/>
                <w:highlight w:val="none"/>
                <w:lang w:val="en-US" w:eastAsia="zh-CN" w:bidi="zh-CN"/>
              </w:rPr>
              <w:t>10</w:t>
            </w:r>
            <w:r>
              <w:rPr>
                <w:rFonts w:hint="eastAsia" w:ascii="仿宋" w:hAnsi="仿宋" w:eastAsia="仿宋" w:cs="仿宋"/>
                <w:color w:val="auto"/>
                <w:kern w:val="2"/>
                <w:sz w:val="28"/>
                <w:szCs w:val="28"/>
                <w:highlight w:val="none"/>
                <w:lang w:val="zh-CN" w:eastAsia="zh-CN" w:bidi="zh-CN"/>
              </w:rPr>
              <w:t>分。</w:t>
            </w:r>
          </w:p>
          <w:p w14:paraId="11A9284D">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left"/>
              <w:textAlignment w:val="auto"/>
              <w:rPr>
                <w:rFonts w:hint="eastAsia" w:ascii="仿宋" w:hAnsi="仿宋" w:eastAsia="仿宋" w:cs="仿宋"/>
                <w:color w:val="auto"/>
                <w:kern w:val="2"/>
                <w:sz w:val="28"/>
                <w:szCs w:val="28"/>
                <w:highlight w:val="none"/>
                <w:lang w:val="zh-CN" w:eastAsia="zh-CN" w:bidi="zh-CN"/>
              </w:rPr>
            </w:pPr>
            <w:r>
              <w:rPr>
                <w:rFonts w:hint="eastAsia" w:ascii="仿宋" w:hAnsi="仿宋" w:eastAsia="仿宋" w:cs="仿宋"/>
                <w:color w:val="auto"/>
                <w:kern w:val="2"/>
                <w:sz w:val="28"/>
                <w:szCs w:val="28"/>
                <w:highlight w:val="none"/>
                <w:lang w:val="zh-CN" w:eastAsia="zh-CN" w:bidi="zh-CN"/>
              </w:rPr>
              <w:t>注：须提供业绩合同</w:t>
            </w:r>
            <w:r>
              <w:rPr>
                <w:rFonts w:hint="eastAsia" w:ascii="仿宋" w:hAnsi="仿宋" w:eastAsia="仿宋" w:cs="仿宋"/>
                <w:color w:val="auto"/>
                <w:kern w:val="2"/>
                <w:sz w:val="28"/>
                <w:szCs w:val="28"/>
                <w:highlight w:val="none"/>
                <w:lang w:val="en-US" w:eastAsia="zh-CN" w:bidi="zh-CN"/>
              </w:rPr>
              <w:t>并加盖投标人公章</w:t>
            </w:r>
            <w:r>
              <w:rPr>
                <w:rFonts w:hint="eastAsia" w:ascii="仿宋" w:hAnsi="仿宋" w:eastAsia="仿宋" w:cs="仿宋"/>
                <w:color w:val="auto"/>
                <w:kern w:val="2"/>
                <w:sz w:val="28"/>
                <w:szCs w:val="28"/>
                <w:highlight w:val="none"/>
                <w:lang w:val="zh-CN" w:eastAsia="zh-CN" w:bidi="zh-CN"/>
              </w:rPr>
              <w:t>。</w:t>
            </w:r>
          </w:p>
        </w:tc>
      </w:tr>
      <w:tr w14:paraId="03A1F29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0" w:hRule="atLeast"/>
          <w:jc w:val="center"/>
        </w:trPr>
        <w:tc>
          <w:tcPr>
            <w:tcW w:w="459" w:type="pct"/>
            <w:vMerge w:val="continue"/>
            <w:vAlign w:val="center"/>
          </w:tcPr>
          <w:p w14:paraId="530AC9E2">
            <w:pPr>
              <w:keepNext w:val="0"/>
              <w:keepLines w:val="0"/>
              <w:pageBreakBefore w:val="0"/>
              <w:kinsoku/>
              <w:wordWrap/>
              <w:overflowPunct/>
              <w:topLinePunct w:val="0"/>
              <w:autoSpaceDE/>
              <w:autoSpaceDN/>
              <w:bidi w:val="0"/>
              <w:adjustRightInd/>
              <w:snapToGrid/>
              <w:jc w:val="center"/>
              <w:textAlignment w:val="auto"/>
              <w:rPr>
                <w:rFonts w:hint="eastAsia" w:ascii="仿宋" w:hAnsi="仿宋" w:eastAsia="仿宋" w:cs="仿宋"/>
                <w:color w:val="auto"/>
                <w:sz w:val="28"/>
                <w:szCs w:val="28"/>
                <w:highlight w:val="none"/>
              </w:rPr>
            </w:pPr>
          </w:p>
        </w:tc>
        <w:tc>
          <w:tcPr>
            <w:tcW w:w="1047" w:type="dxa"/>
            <w:tcBorders>
              <w:top w:val="single" w:color="000000" w:sz="6" w:space="0"/>
            </w:tcBorders>
            <w:vAlign w:val="center"/>
          </w:tcPr>
          <w:p w14:paraId="729C297A">
            <w:pPr>
              <w:keepNext w:val="0"/>
              <w:keepLines w:val="0"/>
              <w:pageBreakBefore w:val="0"/>
              <w:kinsoku/>
              <w:wordWrap/>
              <w:overflowPunct/>
              <w:topLinePunct w:val="0"/>
              <w:autoSpaceDE/>
              <w:autoSpaceDN/>
              <w:bidi w:val="0"/>
              <w:adjustRightInd/>
              <w:snapToGrid/>
              <w:jc w:val="center"/>
              <w:textAlignment w:val="auto"/>
              <w:rPr>
                <w:rFonts w:hint="eastAsia" w:ascii="仿宋" w:hAnsi="仿宋" w:eastAsia="仿宋" w:cs="仿宋"/>
                <w:color w:val="auto"/>
                <w:kern w:val="2"/>
                <w:sz w:val="28"/>
                <w:szCs w:val="28"/>
                <w:highlight w:val="none"/>
                <w:lang w:val="en-US" w:eastAsia="zh-CN" w:bidi="zh-CN"/>
              </w:rPr>
            </w:pPr>
            <w:r>
              <w:rPr>
                <w:rFonts w:hint="eastAsia" w:ascii="仿宋" w:hAnsi="仿宋" w:eastAsia="仿宋" w:cs="仿宋"/>
                <w:color w:val="auto"/>
                <w:kern w:val="2"/>
                <w:sz w:val="28"/>
                <w:szCs w:val="28"/>
                <w:highlight w:val="none"/>
                <w:lang w:val="en-US" w:eastAsia="zh-CN" w:bidi="zh-CN"/>
              </w:rPr>
              <w:t>拟投入配送车辆情况</w:t>
            </w:r>
          </w:p>
          <w:p w14:paraId="65F6E994">
            <w:pPr>
              <w:keepNext w:val="0"/>
              <w:keepLines w:val="0"/>
              <w:pageBreakBefore w:val="0"/>
              <w:kinsoku/>
              <w:wordWrap/>
              <w:overflowPunct/>
              <w:topLinePunct w:val="0"/>
              <w:autoSpaceDE/>
              <w:autoSpaceDN/>
              <w:bidi w:val="0"/>
              <w:adjustRightInd/>
              <w:snapToGrid/>
              <w:jc w:val="center"/>
              <w:textAlignment w:val="auto"/>
              <w:rPr>
                <w:rFonts w:hint="eastAsia" w:ascii="仿宋" w:hAnsi="仿宋" w:eastAsia="仿宋" w:cs="仿宋"/>
                <w:color w:val="auto"/>
                <w:kern w:val="2"/>
                <w:sz w:val="28"/>
                <w:szCs w:val="28"/>
                <w:highlight w:val="none"/>
                <w:lang w:val="zh-CN" w:eastAsia="zh-CN" w:bidi="zh-CN"/>
              </w:rPr>
            </w:pPr>
            <w:r>
              <w:rPr>
                <w:rFonts w:hint="eastAsia" w:ascii="仿宋" w:hAnsi="仿宋" w:eastAsia="仿宋" w:cs="仿宋"/>
                <w:color w:val="auto"/>
                <w:kern w:val="2"/>
                <w:sz w:val="28"/>
                <w:szCs w:val="28"/>
                <w:highlight w:val="none"/>
                <w:lang w:val="en-US" w:eastAsia="zh-CN" w:bidi="zh-CN"/>
              </w:rPr>
              <w:t>(5.0分)</w:t>
            </w:r>
          </w:p>
        </w:tc>
        <w:tc>
          <w:tcPr>
            <w:tcW w:w="7223" w:type="dxa"/>
            <w:tcBorders>
              <w:top w:val="single" w:color="000000" w:sz="6" w:space="0"/>
              <w:bottom w:val="single" w:color="000000" w:sz="6" w:space="0"/>
            </w:tcBorders>
            <w:vAlign w:val="top"/>
          </w:tcPr>
          <w:p w14:paraId="27C428E0">
            <w:pPr>
              <w:keepNext w:val="0"/>
              <w:keepLines w:val="0"/>
              <w:pageBreakBefore w:val="0"/>
              <w:widowControl w:val="0"/>
              <w:kinsoku/>
              <w:wordWrap/>
              <w:overflowPunct/>
              <w:topLinePunct w:val="0"/>
              <w:autoSpaceDE/>
              <w:autoSpaceDN/>
              <w:bidi w:val="0"/>
              <w:adjustRightInd/>
              <w:snapToGrid/>
              <w:spacing w:line="360" w:lineRule="auto"/>
              <w:ind w:left="0" w:right="0"/>
              <w:jc w:val="left"/>
              <w:textAlignment w:val="auto"/>
              <w:rPr>
                <w:rFonts w:hint="eastAsia" w:ascii="仿宋" w:hAnsi="仿宋" w:eastAsia="仿宋" w:cs="仿宋"/>
                <w:color w:val="auto"/>
                <w:kern w:val="2"/>
                <w:sz w:val="28"/>
                <w:szCs w:val="28"/>
                <w:highlight w:val="none"/>
                <w:lang w:val="zh-CN" w:eastAsia="zh-CN" w:bidi="zh-CN"/>
              </w:rPr>
            </w:pPr>
            <w:r>
              <w:rPr>
                <w:rFonts w:hint="eastAsia" w:ascii="仿宋" w:hAnsi="仿宋" w:eastAsia="仿宋" w:cs="仿宋"/>
                <w:color w:val="auto"/>
                <w:kern w:val="2"/>
                <w:sz w:val="28"/>
                <w:szCs w:val="28"/>
                <w:highlight w:val="none"/>
                <w:lang w:val="zh-CN" w:eastAsia="zh-CN" w:bidi="zh-CN"/>
              </w:rPr>
              <w:t>根据投标人拟投入本项目的配送车辆情况进行评审：每提供一辆</w:t>
            </w:r>
            <w:r>
              <w:rPr>
                <w:rFonts w:hint="eastAsia" w:ascii="仿宋" w:hAnsi="仿宋" w:eastAsia="仿宋" w:cs="仿宋"/>
                <w:color w:val="auto"/>
                <w:kern w:val="2"/>
                <w:sz w:val="28"/>
                <w:szCs w:val="28"/>
                <w:highlight w:val="none"/>
                <w:lang w:val="en-US" w:eastAsia="zh-CN" w:bidi="zh-CN"/>
              </w:rPr>
              <w:t>厢式</w:t>
            </w:r>
            <w:r>
              <w:rPr>
                <w:rFonts w:hint="eastAsia" w:ascii="仿宋" w:hAnsi="仿宋" w:eastAsia="仿宋" w:cs="仿宋"/>
                <w:color w:val="auto"/>
                <w:kern w:val="2"/>
                <w:sz w:val="28"/>
                <w:szCs w:val="28"/>
                <w:highlight w:val="none"/>
                <w:lang w:val="zh-CN" w:eastAsia="zh-CN" w:bidi="zh-CN"/>
              </w:rPr>
              <w:t>运输车的，得</w:t>
            </w:r>
            <w:r>
              <w:rPr>
                <w:rFonts w:hint="eastAsia" w:ascii="仿宋" w:hAnsi="仿宋" w:eastAsia="仿宋" w:cs="仿宋"/>
                <w:color w:val="auto"/>
                <w:kern w:val="2"/>
                <w:sz w:val="28"/>
                <w:szCs w:val="28"/>
                <w:highlight w:val="none"/>
                <w:lang w:val="en-US" w:eastAsia="zh-CN" w:bidi="zh-CN"/>
              </w:rPr>
              <w:t>2.5</w:t>
            </w:r>
            <w:r>
              <w:rPr>
                <w:rFonts w:hint="eastAsia" w:ascii="仿宋" w:hAnsi="仿宋" w:eastAsia="仿宋" w:cs="仿宋"/>
                <w:color w:val="auto"/>
                <w:kern w:val="2"/>
                <w:sz w:val="28"/>
                <w:szCs w:val="28"/>
                <w:highlight w:val="none"/>
                <w:lang w:val="zh-CN" w:eastAsia="zh-CN" w:bidi="zh-CN"/>
              </w:rPr>
              <w:t>分，本项最高得</w:t>
            </w:r>
            <w:r>
              <w:rPr>
                <w:rFonts w:hint="eastAsia" w:ascii="仿宋" w:hAnsi="仿宋" w:eastAsia="仿宋" w:cs="仿宋"/>
                <w:color w:val="auto"/>
                <w:kern w:val="2"/>
                <w:sz w:val="28"/>
                <w:szCs w:val="28"/>
                <w:highlight w:val="none"/>
                <w:lang w:val="en-US" w:eastAsia="zh-CN" w:bidi="zh-CN"/>
              </w:rPr>
              <w:t>5</w:t>
            </w:r>
            <w:r>
              <w:rPr>
                <w:rFonts w:hint="eastAsia" w:ascii="仿宋" w:hAnsi="仿宋" w:eastAsia="仿宋" w:cs="仿宋"/>
                <w:color w:val="auto"/>
                <w:kern w:val="2"/>
                <w:sz w:val="28"/>
                <w:szCs w:val="28"/>
                <w:highlight w:val="none"/>
                <w:lang w:val="zh-CN" w:eastAsia="zh-CN" w:bidi="zh-CN"/>
              </w:rPr>
              <w:t>分。</w:t>
            </w:r>
          </w:p>
          <w:p w14:paraId="610E4C71">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left"/>
              <w:textAlignment w:val="auto"/>
              <w:rPr>
                <w:rFonts w:hint="eastAsia" w:ascii="仿宋" w:hAnsi="仿宋" w:eastAsia="仿宋" w:cs="仿宋"/>
                <w:color w:val="auto"/>
                <w:kern w:val="2"/>
                <w:sz w:val="28"/>
                <w:szCs w:val="28"/>
                <w:highlight w:val="none"/>
                <w:lang w:val="zh-CN" w:eastAsia="zh-CN" w:bidi="zh-CN"/>
              </w:rPr>
            </w:pPr>
            <w:r>
              <w:rPr>
                <w:rFonts w:hint="eastAsia" w:ascii="仿宋" w:hAnsi="仿宋" w:eastAsia="仿宋" w:cs="仿宋"/>
                <w:color w:val="auto"/>
                <w:kern w:val="2"/>
                <w:sz w:val="28"/>
                <w:szCs w:val="28"/>
                <w:highlight w:val="none"/>
                <w:lang w:val="zh-CN" w:eastAsia="zh-CN" w:bidi="zh-CN"/>
              </w:rPr>
              <w:t>注：1.车辆为自有的，须提供：①所有人为投标人的车辆行驶证复印件；②购车发票复印件；③车辆照片（照片能清晰体现车牌号）。上述材料均须加盖投标人公章；2.车辆为租赁的，须提供：①车辆行驶证复印件；②车辆照片（照片能清晰体现车牌号）；③承租人为投标人的车辆租赁合同（</w:t>
            </w:r>
            <w:r>
              <w:rPr>
                <w:rFonts w:hint="eastAsia" w:ascii="仿宋" w:hAnsi="仿宋" w:eastAsia="仿宋" w:cs="仿宋"/>
                <w:color w:val="auto"/>
                <w:kern w:val="2"/>
                <w:sz w:val="28"/>
                <w:szCs w:val="28"/>
                <w:highlight w:val="none"/>
                <w:lang w:val="en-US" w:eastAsia="zh-CN" w:bidi="zh-CN"/>
              </w:rPr>
              <w:t>租期需覆盖本项目服务期</w:t>
            </w:r>
            <w:r>
              <w:rPr>
                <w:rFonts w:hint="eastAsia" w:ascii="仿宋" w:hAnsi="仿宋" w:eastAsia="仿宋" w:cs="仿宋"/>
                <w:color w:val="auto"/>
                <w:kern w:val="2"/>
                <w:sz w:val="28"/>
                <w:szCs w:val="28"/>
                <w:highlight w:val="none"/>
                <w:lang w:val="zh-CN" w:eastAsia="zh-CN" w:bidi="zh-CN"/>
              </w:rPr>
              <w:t>）。上述材料均须加盖投标人公章；3.未提供对应材料或提供不全的不得分。</w:t>
            </w:r>
          </w:p>
        </w:tc>
      </w:tr>
      <w:tr w14:paraId="1BAE40A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0" w:hRule="atLeast"/>
          <w:jc w:val="center"/>
        </w:trPr>
        <w:tc>
          <w:tcPr>
            <w:tcW w:w="459" w:type="pct"/>
            <w:vMerge w:val="continue"/>
            <w:vAlign w:val="center"/>
          </w:tcPr>
          <w:p w14:paraId="53FAE564">
            <w:pPr>
              <w:keepNext w:val="0"/>
              <w:keepLines w:val="0"/>
              <w:pageBreakBefore w:val="0"/>
              <w:kinsoku/>
              <w:wordWrap/>
              <w:overflowPunct/>
              <w:topLinePunct w:val="0"/>
              <w:autoSpaceDE/>
              <w:autoSpaceDN/>
              <w:bidi w:val="0"/>
              <w:adjustRightInd/>
              <w:snapToGrid/>
              <w:jc w:val="center"/>
              <w:textAlignment w:val="auto"/>
              <w:rPr>
                <w:rFonts w:hint="eastAsia" w:ascii="仿宋" w:hAnsi="仿宋" w:eastAsia="仿宋" w:cs="仿宋"/>
                <w:color w:val="auto"/>
                <w:sz w:val="28"/>
                <w:szCs w:val="28"/>
                <w:highlight w:val="none"/>
              </w:rPr>
            </w:pPr>
          </w:p>
        </w:tc>
        <w:tc>
          <w:tcPr>
            <w:tcW w:w="575" w:type="pct"/>
            <w:tcBorders>
              <w:top w:val="single" w:color="000000" w:sz="6" w:space="0"/>
            </w:tcBorders>
            <w:vAlign w:val="center"/>
          </w:tcPr>
          <w:p w14:paraId="52DD8690">
            <w:pPr>
              <w:keepNext w:val="0"/>
              <w:keepLines w:val="0"/>
              <w:pageBreakBefore w:val="0"/>
              <w:kinsoku/>
              <w:wordWrap/>
              <w:overflowPunct/>
              <w:topLinePunct w:val="0"/>
              <w:autoSpaceDE/>
              <w:autoSpaceDN/>
              <w:bidi w:val="0"/>
              <w:adjustRightInd/>
              <w:snapToGrid/>
              <w:jc w:val="center"/>
              <w:textAlignment w:val="auto"/>
              <w:rPr>
                <w:rFonts w:hint="eastAsia" w:ascii="仿宋" w:hAnsi="仿宋" w:eastAsia="仿宋" w:cs="仿宋"/>
                <w:color w:val="auto"/>
                <w:kern w:val="2"/>
                <w:sz w:val="28"/>
                <w:szCs w:val="28"/>
                <w:highlight w:val="none"/>
                <w:lang w:val="zh-CN" w:eastAsia="zh-CN" w:bidi="zh-CN"/>
              </w:rPr>
            </w:pPr>
            <w:r>
              <w:rPr>
                <w:rFonts w:hint="eastAsia" w:ascii="仿宋" w:hAnsi="仿宋" w:eastAsia="仿宋" w:cs="仿宋"/>
                <w:color w:val="auto"/>
                <w:kern w:val="2"/>
                <w:sz w:val="28"/>
                <w:szCs w:val="28"/>
                <w:highlight w:val="none"/>
                <w:lang w:val="en-US" w:eastAsia="zh-CN" w:bidi="zh-CN"/>
              </w:rPr>
              <w:t>应急响应承诺</w:t>
            </w:r>
            <w:r>
              <w:rPr>
                <w:rFonts w:hint="eastAsia" w:ascii="仿宋" w:hAnsi="仿宋" w:eastAsia="仿宋" w:cs="仿宋"/>
                <w:color w:val="auto"/>
                <w:kern w:val="2"/>
                <w:sz w:val="28"/>
                <w:szCs w:val="28"/>
                <w:highlight w:val="none"/>
                <w:lang w:val="zh-CN" w:eastAsia="zh-CN" w:bidi="zh-CN"/>
              </w:rPr>
              <w:t>(</w:t>
            </w:r>
            <w:r>
              <w:rPr>
                <w:rFonts w:hint="eastAsia" w:ascii="仿宋" w:hAnsi="仿宋" w:eastAsia="仿宋" w:cs="仿宋"/>
                <w:color w:val="auto"/>
                <w:kern w:val="2"/>
                <w:sz w:val="28"/>
                <w:szCs w:val="28"/>
                <w:highlight w:val="none"/>
                <w:lang w:val="en-US" w:eastAsia="zh-CN" w:bidi="zh-CN"/>
              </w:rPr>
              <w:t>5</w:t>
            </w:r>
            <w:r>
              <w:rPr>
                <w:rFonts w:hint="eastAsia" w:ascii="仿宋" w:hAnsi="仿宋" w:eastAsia="仿宋" w:cs="仿宋"/>
                <w:color w:val="auto"/>
                <w:kern w:val="2"/>
                <w:sz w:val="28"/>
                <w:szCs w:val="28"/>
                <w:highlight w:val="none"/>
                <w:lang w:val="zh-CN" w:eastAsia="zh-CN" w:bidi="zh-CN"/>
              </w:rPr>
              <w:t>.0分)</w:t>
            </w:r>
          </w:p>
        </w:tc>
        <w:tc>
          <w:tcPr>
            <w:tcW w:w="3964" w:type="pct"/>
            <w:tcBorders>
              <w:top w:val="single" w:color="000000" w:sz="6" w:space="0"/>
              <w:bottom w:val="single" w:color="000000" w:sz="6" w:space="0"/>
            </w:tcBorders>
            <w:vAlign w:val="top"/>
          </w:tcPr>
          <w:p w14:paraId="72AB69A1">
            <w:pPr>
              <w:keepNext w:val="0"/>
              <w:keepLines w:val="0"/>
              <w:pageBreakBefore w:val="0"/>
              <w:widowControl w:val="0"/>
              <w:kinsoku/>
              <w:wordWrap/>
              <w:overflowPunct/>
              <w:topLinePunct w:val="0"/>
              <w:autoSpaceDE/>
              <w:autoSpaceDN/>
              <w:bidi w:val="0"/>
              <w:adjustRightInd/>
              <w:snapToGrid/>
              <w:spacing w:line="360" w:lineRule="auto"/>
              <w:ind w:left="0" w:right="0"/>
              <w:jc w:val="left"/>
              <w:textAlignment w:val="auto"/>
              <w:rPr>
                <w:rFonts w:hint="eastAsia" w:ascii="仿宋" w:hAnsi="仿宋" w:eastAsia="仿宋" w:cs="仿宋"/>
                <w:color w:val="auto"/>
                <w:kern w:val="2"/>
                <w:sz w:val="28"/>
                <w:szCs w:val="28"/>
                <w:highlight w:val="none"/>
                <w:lang w:val="zh-CN" w:eastAsia="zh-CN" w:bidi="zh-CN"/>
              </w:rPr>
            </w:pPr>
            <w:r>
              <w:rPr>
                <w:rFonts w:hint="eastAsia" w:ascii="仿宋" w:hAnsi="仿宋" w:eastAsia="仿宋" w:cs="仿宋"/>
                <w:color w:val="auto"/>
                <w:kern w:val="2"/>
                <w:sz w:val="28"/>
                <w:szCs w:val="28"/>
                <w:highlight w:val="none"/>
                <w:lang w:val="zh-CN" w:eastAsia="zh-CN" w:bidi="zh-CN"/>
              </w:rPr>
              <w:t>根据投标人提供的应急服务响应承诺进行评审：</w:t>
            </w:r>
          </w:p>
          <w:p w14:paraId="15555D5A">
            <w:pPr>
              <w:keepNext w:val="0"/>
              <w:keepLines w:val="0"/>
              <w:pageBreakBefore w:val="0"/>
              <w:widowControl w:val="0"/>
              <w:kinsoku/>
              <w:wordWrap/>
              <w:overflowPunct/>
              <w:topLinePunct w:val="0"/>
              <w:autoSpaceDE/>
              <w:autoSpaceDN/>
              <w:bidi w:val="0"/>
              <w:adjustRightInd/>
              <w:snapToGrid/>
              <w:spacing w:line="360" w:lineRule="auto"/>
              <w:ind w:left="0" w:right="0"/>
              <w:jc w:val="left"/>
              <w:textAlignment w:val="auto"/>
              <w:rPr>
                <w:rFonts w:hint="eastAsia" w:ascii="仿宋" w:hAnsi="仿宋" w:eastAsia="仿宋" w:cs="仿宋"/>
                <w:color w:val="auto"/>
                <w:kern w:val="2"/>
                <w:sz w:val="28"/>
                <w:szCs w:val="28"/>
                <w:highlight w:val="none"/>
                <w:lang w:val="zh-CN" w:eastAsia="zh-CN" w:bidi="zh-CN"/>
              </w:rPr>
            </w:pPr>
            <w:r>
              <w:rPr>
                <w:rFonts w:hint="eastAsia" w:ascii="仿宋" w:hAnsi="仿宋" w:eastAsia="仿宋" w:cs="仿宋"/>
                <w:color w:val="auto"/>
                <w:kern w:val="2"/>
                <w:sz w:val="28"/>
                <w:szCs w:val="28"/>
                <w:highlight w:val="none"/>
                <w:lang w:val="zh-CN" w:eastAsia="zh-CN" w:bidi="zh-CN"/>
              </w:rPr>
              <w:t>1、</w:t>
            </w:r>
            <w:r>
              <w:rPr>
                <w:rFonts w:hint="eastAsia" w:ascii="仿宋" w:hAnsi="仿宋" w:eastAsia="仿宋" w:cs="仿宋"/>
                <w:color w:val="auto"/>
                <w:kern w:val="2"/>
                <w:sz w:val="28"/>
                <w:szCs w:val="28"/>
                <w:highlight w:val="none"/>
                <w:lang w:val="en-US" w:eastAsia="zh-CN" w:bidi="zh-CN"/>
              </w:rPr>
              <w:t>投标人</w:t>
            </w:r>
            <w:r>
              <w:rPr>
                <w:rFonts w:hint="eastAsia" w:ascii="仿宋" w:hAnsi="仿宋" w:eastAsia="仿宋" w:cs="仿宋"/>
                <w:color w:val="auto"/>
                <w:kern w:val="2"/>
                <w:sz w:val="28"/>
                <w:szCs w:val="28"/>
                <w:highlight w:val="none"/>
                <w:lang w:val="zh-CN" w:eastAsia="zh-CN" w:bidi="zh-CN"/>
              </w:rPr>
              <w:t>承诺在接到采购人通知后1小时（含）内响应并到达采购人指定地点的，得</w:t>
            </w:r>
            <w:r>
              <w:rPr>
                <w:rFonts w:hint="eastAsia" w:ascii="仿宋" w:hAnsi="仿宋" w:eastAsia="仿宋" w:cs="仿宋"/>
                <w:color w:val="auto"/>
                <w:kern w:val="2"/>
                <w:sz w:val="28"/>
                <w:szCs w:val="28"/>
                <w:highlight w:val="none"/>
                <w:lang w:val="en-US" w:eastAsia="zh-CN" w:bidi="zh-CN"/>
              </w:rPr>
              <w:t>5</w:t>
            </w:r>
            <w:r>
              <w:rPr>
                <w:rFonts w:hint="eastAsia" w:ascii="仿宋" w:hAnsi="仿宋" w:eastAsia="仿宋" w:cs="仿宋"/>
                <w:color w:val="auto"/>
                <w:kern w:val="2"/>
                <w:sz w:val="28"/>
                <w:szCs w:val="28"/>
                <w:highlight w:val="none"/>
                <w:lang w:val="zh-CN" w:eastAsia="zh-CN" w:bidi="zh-CN"/>
              </w:rPr>
              <w:t>分；</w:t>
            </w:r>
          </w:p>
          <w:p w14:paraId="5BF46DA5">
            <w:pPr>
              <w:keepNext w:val="0"/>
              <w:keepLines w:val="0"/>
              <w:pageBreakBefore w:val="0"/>
              <w:widowControl w:val="0"/>
              <w:kinsoku/>
              <w:wordWrap/>
              <w:overflowPunct/>
              <w:topLinePunct w:val="0"/>
              <w:autoSpaceDE/>
              <w:autoSpaceDN/>
              <w:bidi w:val="0"/>
              <w:adjustRightInd/>
              <w:snapToGrid/>
              <w:spacing w:line="360" w:lineRule="auto"/>
              <w:ind w:left="0" w:right="0"/>
              <w:jc w:val="left"/>
              <w:textAlignment w:val="auto"/>
              <w:rPr>
                <w:rFonts w:hint="eastAsia" w:ascii="仿宋" w:hAnsi="仿宋" w:eastAsia="仿宋" w:cs="仿宋"/>
                <w:color w:val="auto"/>
                <w:kern w:val="2"/>
                <w:sz w:val="28"/>
                <w:szCs w:val="28"/>
                <w:highlight w:val="none"/>
                <w:lang w:val="zh-CN" w:eastAsia="zh-CN" w:bidi="zh-CN"/>
              </w:rPr>
            </w:pPr>
            <w:r>
              <w:rPr>
                <w:rFonts w:hint="eastAsia" w:ascii="仿宋" w:hAnsi="仿宋" w:eastAsia="仿宋" w:cs="仿宋"/>
                <w:color w:val="auto"/>
                <w:kern w:val="2"/>
                <w:sz w:val="28"/>
                <w:szCs w:val="28"/>
                <w:highlight w:val="none"/>
                <w:lang w:val="zh-CN" w:eastAsia="zh-CN" w:bidi="zh-CN"/>
              </w:rPr>
              <w:t>2、</w:t>
            </w:r>
            <w:r>
              <w:rPr>
                <w:rFonts w:hint="eastAsia" w:ascii="仿宋" w:hAnsi="仿宋" w:eastAsia="仿宋" w:cs="仿宋"/>
                <w:color w:val="auto"/>
                <w:kern w:val="2"/>
                <w:sz w:val="28"/>
                <w:szCs w:val="28"/>
                <w:highlight w:val="none"/>
                <w:lang w:val="en-US" w:eastAsia="zh-CN" w:bidi="zh-CN"/>
              </w:rPr>
              <w:t>投标人</w:t>
            </w:r>
            <w:r>
              <w:rPr>
                <w:rFonts w:hint="eastAsia" w:ascii="仿宋" w:hAnsi="仿宋" w:eastAsia="仿宋" w:cs="仿宋"/>
                <w:color w:val="auto"/>
                <w:kern w:val="2"/>
                <w:sz w:val="28"/>
                <w:szCs w:val="28"/>
                <w:highlight w:val="none"/>
                <w:lang w:val="zh-CN" w:eastAsia="zh-CN" w:bidi="zh-CN"/>
              </w:rPr>
              <w:t>承诺在接到采购人通知后1小时（不含）-2小时（含）内响应并到达采购人指定地点的，得</w:t>
            </w:r>
            <w:r>
              <w:rPr>
                <w:rFonts w:hint="eastAsia" w:ascii="仿宋" w:hAnsi="仿宋" w:eastAsia="仿宋" w:cs="仿宋"/>
                <w:color w:val="auto"/>
                <w:kern w:val="2"/>
                <w:sz w:val="28"/>
                <w:szCs w:val="28"/>
                <w:highlight w:val="none"/>
                <w:lang w:val="en-US" w:eastAsia="zh-CN" w:bidi="zh-CN"/>
              </w:rPr>
              <w:t>3</w:t>
            </w:r>
            <w:r>
              <w:rPr>
                <w:rFonts w:hint="eastAsia" w:ascii="仿宋" w:hAnsi="仿宋" w:eastAsia="仿宋" w:cs="仿宋"/>
                <w:color w:val="auto"/>
                <w:kern w:val="2"/>
                <w:sz w:val="28"/>
                <w:szCs w:val="28"/>
                <w:highlight w:val="none"/>
                <w:lang w:val="zh-CN" w:eastAsia="zh-CN" w:bidi="zh-CN"/>
              </w:rPr>
              <w:t>分；</w:t>
            </w:r>
          </w:p>
          <w:p w14:paraId="73E484C8">
            <w:pPr>
              <w:keepNext w:val="0"/>
              <w:keepLines w:val="0"/>
              <w:pageBreakBefore w:val="0"/>
              <w:widowControl w:val="0"/>
              <w:kinsoku/>
              <w:wordWrap/>
              <w:overflowPunct/>
              <w:topLinePunct w:val="0"/>
              <w:autoSpaceDE/>
              <w:autoSpaceDN/>
              <w:bidi w:val="0"/>
              <w:adjustRightInd/>
              <w:snapToGrid/>
              <w:spacing w:line="360" w:lineRule="auto"/>
              <w:ind w:left="0" w:right="0"/>
              <w:jc w:val="left"/>
              <w:textAlignment w:val="auto"/>
              <w:rPr>
                <w:rFonts w:hint="eastAsia" w:ascii="仿宋" w:hAnsi="仿宋" w:eastAsia="仿宋" w:cs="仿宋"/>
                <w:color w:val="auto"/>
                <w:kern w:val="2"/>
                <w:sz w:val="28"/>
                <w:szCs w:val="28"/>
                <w:highlight w:val="none"/>
                <w:lang w:val="zh-CN" w:eastAsia="zh-CN" w:bidi="zh-CN"/>
              </w:rPr>
            </w:pPr>
            <w:r>
              <w:rPr>
                <w:rFonts w:hint="eastAsia" w:ascii="仿宋" w:hAnsi="仿宋" w:eastAsia="仿宋" w:cs="仿宋"/>
                <w:color w:val="auto"/>
                <w:kern w:val="2"/>
                <w:sz w:val="28"/>
                <w:szCs w:val="28"/>
                <w:highlight w:val="none"/>
                <w:lang w:val="zh-CN" w:eastAsia="zh-CN" w:bidi="zh-CN"/>
              </w:rPr>
              <w:t>3、</w:t>
            </w:r>
            <w:r>
              <w:rPr>
                <w:rFonts w:hint="eastAsia" w:ascii="仿宋" w:hAnsi="仿宋" w:eastAsia="仿宋" w:cs="仿宋"/>
                <w:color w:val="auto"/>
                <w:kern w:val="2"/>
                <w:sz w:val="28"/>
                <w:szCs w:val="28"/>
                <w:highlight w:val="none"/>
                <w:lang w:val="en-US" w:eastAsia="zh-CN" w:bidi="zh-CN"/>
              </w:rPr>
              <w:t>投标人</w:t>
            </w:r>
            <w:r>
              <w:rPr>
                <w:rFonts w:hint="eastAsia" w:ascii="仿宋" w:hAnsi="仿宋" w:eastAsia="仿宋" w:cs="仿宋"/>
                <w:color w:val="auto"/>
                <w:kern w:val="2"/>
                <w:sz w:val="28"/>
                <w:szCs w:val="28"/>
                <w:highlight w:val="none"/>
                <w:lang w:val="zh-CN" w:eastAsia="zh-CN" w:bidi="zh-CN"/>
              </w:rPr>
              <w:t>承诺在接到采购人通知后2小时（不含）-</w:t>
            </w:r>
            <w:r>
              <w:rPr>
                <w:rFonts w:hint="eastAsia" w:ascii="仿宋" w:hAnsi="仿宋" w:eastAsia="仿宋" w:cs="仿宋"/>
                <w:color w:val="auto"/>
                <w:kern w:val="2"/>
                <w:sz w:val="28"/>
                <w:szCs w:val="28"/>
                <w:highlight w:val="none"/>
                <w:lang w:val="en-US" w:eastAsia="zh-CN" w:bidi="zh-CN"/>
              </w:rPr>
              <w:t>3</w:t>
            </w:r>
            <w:r>
              <w:rPr>
                <w:rFonts w:hint="eastAsia" w:ascii="仿宋" w:hAnsi="仿宋" w:eastAsia="仿宋" w:cs="仿宋"/>
                <w:color w:val="auto"/>
                <w:kern w:val="2"/>
                <w:sz w:val="28"/>
                <w:szCs w:val="28"/>
                <w:highlight w:val="none"/>
                <w:lang w:val="zh-CN" w:eastAsia="zh-CN" w:bidi="zh-CN"/>
              </w:rPr>
              <w:t>小时（含）内响应并到达采购人指定地点的，得1分；</w:t>
            </w:r>
          </w:p>
          <w:p w14:paraId="2A5A7937">
            <w:pPr>
              <w:keepNext w:val="0"/>
              <w:keepLines w:val="0"/>
              <w:pageBreakBefore w:val="0"/>
              <w:widowControl w:val="0"/>
              <w:kinsoku/>
              <w:wordWrap/>
              <w:overflowPunct/>
              <w:topLinePunct w:val="0"/>
              <w:autoSpaceDE/>
              <w:autoSpaceDN/>
              <w:bidi w:val="0"/>
              <w:adjustRightInd/>
              <w:snapToGrid/>
              <w:spacing w:line="360" w:lineRule="auto"/>
              <w:ind w:left="0" w:right="0"/>
              <w:jc w:val="left"/>
              <w:textAlignment w:val="auto"/>
              <w:rPr>
                <w:rFonts w:hint="eastAsia" w:ascii="仿宋" w:hAnsi="仿宋" w:eastAsia="仿宋" w:cs="仿宋"/>
                <w:color w:val="auto"/>
                <w:kern w:val="2"/>
                <w:sz w:val="28"/>
                <w:szCs w:val="28"/>
                <w:highlight w:val="none"/>
                <w:lang w:val="zh-CN" w:eastAsia="zh-CN" w:bidi="zh-CN"/>
              </w:rPr>
            </w:pPr>
            <w:r>
              <w:rPr>
                <w:rFonts w:hint="eastAsia" w:ascii="仿宋" w:hAnsi="仿宋" w:eastAsia="仿宋" w:cs="仿宋"/>
                <w:color w:val="auto"/>
                <w:kern w:val="2"/>
                <w:sz w:val="28"/>
                <w:szCs w:val="28"/>
                <w:highlight w:val="none"/>
                <w:lang w:val="zh-CN" w:eastAsia="zh-CN" w:bidi="zh-CN"/>
              </w:rPr>
              <w:t>4、未提供承诺书或其它情况的不得分。</w:t>
            </w:r>
          </w:p>
          <w:p w14:paraId="49BC6C98">
            <w:pPr>
              <w:keepNext w:val="0"/>
              <w:keepLines w:val="0"/>
              <w:pageBreakBefore w:val="0"/>
              <w:widowControl w:val="0"/>
              <w:kinsoku/>
              <w:wordWrap/>
              <w:overflowPunct/>
              <w:topLinePunct w:val="0"/>
              <w:autoSpaceDE/>
              <w:autoSpaceDN/>
              <w:bidi w:val="0"/>
              <w:adjustRightInd/>
              <w:snapToGrid/>
              <w:spacing w:line="360" w:lineRule="auto"/>
              <w:ind w:left="0" w:right="0"/>
              <w:jc w:val="left"/>
              <w:textAlignment w:val="auto"/>
              <w:rPr>
                <w:rFonts w:hint="eastAsia" w:ascii="仿宋" w:hAnsi="仿宋" w:eastAsia="仿宋" w:cs="仿宋"/>
                <w:color w:val="auto"/>
                <w:kern w:val="2"/>
                <w:sz w:val="28"/>
                <w:szCs w:val="28"/>
                <w:highlight w:val="none"/>
                <w:lang w:val="zh-CN" w:eastAsia="zh-CN" w:bidi="zh-CN"/>
              </w:rPr>
            </w:pPr>
            <w:r>
              <w:rPr>
                <w:rFonts w:hint="eastAsia" w:ascii="仿宋" w:hAnsi="仿宋" w:eastAsia="仿宋" w:cs="仿宋"/>
                <w:color w:val="auto"/>
                <w:kern w:val="2"/>
                <w:sz w:val="28"/>
                <w:szCs w:val="28"/>
                <w:highlight w:val="none"/>
                <w:lang w:val="zh-CN" w:eastAsia="zh-CN" w:bidi="zh-CN"/>
              </w:rPr>
              <w:t>注：须提供服务响应承诺书加盖投标人公章。</w:t>
            </w:r>
          </w:p>
        </w:tc>
      </w:tr>
      <w:tr w14:paraId="279A7C4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0" w:hRule="atLeast"/>
          <w:jc w:val="center"/>
        </w:trPr>
        <w:tc>
          <w:tcPr>
            <w:tcW w:w="459" w:type="pct"/>
            <w:vAlign w:val="center"/>
          </w:tcPr>
          <w:p w14:paraId="76EAD1F2">
            <w:pPr>
              <w:pStyle w:val="26"/>
              <w:keepNext w:val="0"/>
              <w:keepLines w:val="0"/>
              <w:pageBreakBefore w:val="0"/>
              <w:kinsoku/>
              <w:wordWrap/>
              <w:overflowPunct/>
              <w:topLinePunct w:val="0"/>
              <w:autoSpaceDE/>
              <w:autoSpaceDN/>
              <w:bidi w:val="0"/>
              <w:adjustRightInd/>
              <w:snapToGrid/>
              <w:ind w:left="196" w:leftChars="0"/>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投标报价</w:t>
            </w:r>
          </w:p>
        </w:tc>
        <w:tc>
          <w:tcPr>
            <w:tcW w:w="575" w:type="pct"/>
            <w:tcBorders>
              <w:top w:val="single" w:color="000000" w:sz="6" w:space="0"/>
              <w:bottom w:val="single" w:color="000000" w:sz="6" w:space="0"/>
            </w:tcBorders>
            <w:vAlign w:val="center"/>
          </w:tcPr>
          <w:p w14:paraId="08317409">
            <w:pPr>
              <w:keepNext w:val="0"/>
              <w:keepLines w:val="0"/>
              <w:pageBreakBefore w:val="0"/>
              <w:kinsoku/>
              <w:wordWrap/>
              <w:overflowPunct/>
              <w:topLinePunct w:val="0"/>
              <w:autoSpaceDE/>
              <w:autoSpaceDN/>
              <w:bidi w:val="0"/>
              <w:adjustRightInd/>
              <w:snapToGrid/>
              <w:jc w:val="center"/>
              <w:textAlignment w:val="auto"/>
              <w:rPr>
                <w:rFonts w:hint="eastAsia" w:ascii="仿宋" w:hAnsi="仿宋" w:eastAsia="仿宋" w:cs="仿宋"/>
                <w:color w:val="auto"/>
                <w:kern w:val="2"/>
                <w:sz w:val="28"/>
                <w:szCs w:val="28"/>
                <w:highlight w:val="none"/>
                <w:lang w:val="zh-CN" w:eastAsia="zh-CN" w:bidi="zh-CN"/>
              </w:rPr>
            </w:pPr>
            <w:r>
              <w:rPr>
                <w:rFonts w:hint="eastAsia" w:ascii="仿宋" w:hAnsi="仿宋" w:eastAsia="仿宋" w:cs="仿宋"/>
                <w:color w:val="auto"/>
                <w:kern w:val="2"/>
                <w:sz w:val="28"/>
                <w:szCs w:val="28"/>
                <w:highlight w:val="none"/>
                <w:lang w:val="zh-CN" w:eastAsia="zh-CN" w:bidi="zh-CN"/>
              </w:rPr>
              <w:t>投标报价得分</w:t>
            </w:r>
          </w:p>
          <w:p w14:paraId="4E88351B">
            <w:pPr>
              <w:keepNext w:val="0"/>
              <w:keepLines w:val="0"/>
              <w:pageBreakBefore w:val="0"/>
              <w:kinsoku/>
              <w:wordWrap/>
              <w:overflowPunct/>
              <w:topLinePunct w:val="0"/>
              <w:autoSpaceDE/>
              <w:autoSpaceDN/>
              <w:bidi w:val="0"/>
              <w:adjustRightInd/>
              <w:snapToGrid/>
              <w:jc w:val="center"/>
              <w:textAlignment w:val="auto"/>
              <w:rPr>
                <w:rFonts w:hint="eastAsia" w:ascii="仿宋" w:hAnsi="仿宋" w:eastAsia="仿宋" w:cs="仿宋"/>
                <w:color w:val="auto"/>
                <w:kern w:val="2"/>
                <w:sz w:val="28"/>
                <w:szCs w:val="28"/>
                <w:highlight w:val="none"/>
                <w:lang w:val="en-US" w:eastAsia="zh-CN" w:bidi="zh-CN"/>
              </w:rPr>
            </w:pPr>
            <w:r>
              <w:rPr>
                <w:rFonts w:hint="eastAsia" w:ascii="仿宋" w:hAnsi="仿宋" w:eastAsia="仿宋" w:cs="仿宋"/>
                <w:color w:val="auto"/>
                <w:kern w:val="2"/>
                <w:sz w:val="28"/>
                <w:szCs w:val="28"/>
                <w:highlight w:val="none"/>
                <w:lang w:val="zh-CN" w:eastAsia="zh-CN" w:bidi="zh-CN"/>
              </w:rPr>
              <w:t>(</w:t>
            </w:r>
            <w:r>
              <w:rPr>
                <w:rFonts w:hint="eastAsia" w:ascii="仿宋" w:hAnsi="仿宋" w:eastAsia="仿宋" w:cs="仿宋"/>
                <w:color w:val="auto"/>
                <w:kern w:val="2"/>
                <w:sz w:val="28"/>
                <w:szCs w:val="28"/>
                <w:highlight w:val="none"/>
                <w:lang w:val="en-US" w:eastAsia="zh-CN" w:bidi="zh-CN"/>
              </w:rPr>
              <w:t>3</w:t>
            </w:r>
            <w:r>
              <w:rPr>
                <w:rFonts w:hint="eastAsia" w:ascii="仿宋" w:hAnsi="仿宋" w:eastAsia="仿宋" w:cs="仿宋"/>
                <w:color w:val="auto"/>
                <w:kern w:val="2"/>
                <w:sz w:val="28"/>
                <w:szCs w:val="28"/>
                <w:highlight w:val="none"/>
                <w:lang w:val="zh-CN" w:eastAsia="zh-CN" w:bidi="zh-CN"/>
              </w:rPr>
              <w:t>0.0分)</w:t>
            </w:r>
          </w:p>
        </w:tc>
        <w:tc>
          <w:tcPr>
            <w:tcW w:w="3964" w:type="pct"/>
            <w:tcBorders>
              <w:top w:val="single" w:color="000000" w:sz="6" w:space="0"/>
              <w:bottom w:val="single" w:color="000000" w:sz="6" w:space="0"/>
            </w:tcBorders>
            <w:vAlign w:val="top"/>
          </w:tcPr>
          <w:p w14:paraId="3AED825A">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left"/>
              <w:textAlignment w:val="auto"/>
              <w:rPr>
                <w:rFonts w:hint="eastAsia" w:ascii="仿宋" w:hAnsi="仿宋" w:eastAsia="仿宋" w:cs="仿宋"/>
                <w:color w:val="auto"/>
                <w:kern w:val="2"/>
                <w:sz w:val="28"/>
                <w:szCs w:val="28"/>
                <w:highlight w:val="none"/>
                <w:lang w:val="zh-CN" w:eastAsia="zh-CN" w:bidi="zh-CN"/>
              </w:rPr>
            </w:pPr>
            <w:r>
              <w:rPr>
                <w:rFonts w:hint="eastAsia" w:ascii="仿宋" w:hAnsi="仿宋" w:eastAsia="仿宋" w:cs="仿宋"/>
                <w:color w:val="auto"/>
                <w:kern w:val="2"/>
                <w:sz w:val="28"/>
                <w:szCs w:val="28"/>
                <w:highlight w:val="none"/>
                <w:lang w:val="zh-CN" w:eastAsia="zh-CN" w:bidi="zh-CN"/>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20%为报价最低，评标基准价为20%，得满分】。因落实政府采购政策进行价格调整的，以调整后的价格计算评标基准价和投标报价。</w:t>
            </w:r>
          </w:p>
        </w:tc>
      </w:tr>
    </w:tbl>
    <w:p w14:paraId="6628C999">
      <w:pPr>
        <w:pStyle w:val="16"/>
        <w:spacing w:line="360" w:lineRule="auto"/>
        <w:outlineLvl w:val="2"/>
        <w:rPr>
          <w:rFonts w:hint="eastAsia" w:ascii="仿宋" w:hAnsi="仿宋" w:eastAsia="仿宋" w:cs="仿宋"/>
          <w:b/>
          <w:color w:val="auto"/>
          <w:sz w:val="28"/>
          <w:szCs w:val="28"/>
          <w:highlight w:val="none"/>
        </w:rPr>
      </w:pPr>
    </w:p>
    <w:p w14:paraId="193431AD">
      <w:pPr>
        <w:pStyle w:val="16"/>
        <w:spacing w:line="360" w:lineRule="auto"/>
        <w:outlineLvl w:val="2"/>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4.汇总、排序</w:t>
      </w:r>
    </w:p>
    <w:p w14:paraId="169697E7">
      <w:pPr>
        <w:pStyle w:val="16"/>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14:paraId="1BCBCB69">
      <w:pPr>
        <w:pStyle w:val="16"/>
        <w:spacing w:line="360" w:lineRule="auto"/>
        <w:outlineLvl w:val="2"/>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5.中标价的确定</w:t>
      </w:r>
    </w:p>
    <w:p w14:paraId="42901C8A">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除了按第四章第一点第7条修正并经投标人确认的投标报价作为中标价外，中标价以开标时公开唱标价为准。</w:t>
      </w:r>
    </w:p>
    <w:p w14:paraId="12340B2F">
      <w:pPr>
        <w:pStyle w:val="16"/>
        <w:spacing w:line="360" w:lineRule="auto"/>
        <w:outlineLvl w:val="2"/>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6.其他无效投标的情形：</w:t>
      </w:r>
    </w:p>
    <w:p w14:paraId="281FBF88">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评标期间，投标人没有按评标委员会的要求提交法定代表人或其委托代理人签字的澄清、说明、补正或改变了投标文件的实质性内容的。</w:t>
      </w:r>
    </w:p>
    <w:p w14:paraId="3043636B">
      <w:pPr>
        <w:pStyle w:val="16"/>
        <w:spacing w:line="360" w:lineRule="auto"/>
        <w:ind w:firstLine="480"/>
        <w:outlineLvl w:val="3"/>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2</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投标文件提供虚假材料的。</w:t>
      </w:r>
    </w:p>
    <w:p w14:paraId="05926C8A">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3</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投标人以他人名义投标、串通投标、以行贿手段谋取中标或者以其他弄虚作假方式投标的。</w:t>
      </w:r>
    </w:p>
    <w:p w14:paraId="322D74D9">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4</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投标人对采购人、采购代理机构、评标委员会及其工作人员施加影响，有碍招标公平、公正的。</w:t>
      </w:r>
    </w:p>
    <w:p w14:paraId="648528E5">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5</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投标文件含有采购人不能接受的附加条件的。</w:t>
      </w:r>
    </w:p>
    <w:p w14:paraId="202BEA24">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6</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法律、法规和招标文件规定的其他无效情形。</w:t>
      </w:r>
    </w:p>
    <w:p w14:paraId="71EF139D">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br w:type="page"/>
      </w:r>
    </w:p>
    <w:p w14:paraId="32233DB8">
      <w:pPr>
        <w:pStyle w:val="2"/>
        <w:bidi w:val="0"/>
        <w:jc w:val="center"/>
        <w:outlineLvl w:val="0"/>
        <w:rPr>
          <w:rFonts w:hint="eastAsia" w:ascii="仿宋" w:hAnsi="仿宋" w:eastAsia="仿宋" w:cs="仿宋"/>
          <w:color w:val="auto"/>
          <w:sz w:val="28"/>
          <w:szCs w:val="28"/>
          <w:highlight w:val="none"/>
        </w:rPr>
      </w:pPr>
      <w:bookmarkStart w:id="11" w:name="_Toc21790"/>
      <w:r>
        <w:rPr>
          <w:rFonts w:hint="eastAsia" w:ascii="仿宋" w:hAnsi="仿宋" w:eastAsia="仿宋" w:cs="仿宋"/>
          <w:color w:val="auto"/>
          <w:sz w:val="28"/>
          <w:szCs w:val="28"/>
          <w:highlight w:val="none"/>
        </w:rPr>
        <w:t>第五章 合同文本</w:t>
      </w:r>
      <w:bookmarkEnd w:id="11"/>
    </w:p>
    <w:p w14:paraId="0972EF2E">
      <w:pPr>
        <w:pStyle w:val="16"/>
        <w:spacing w:line="360" w:lineRule="auto"/>
        <w:rPr>
          <w:rFonts w:hint="eastAsia" w:ascii="仿宋" w:hAnsi="仿宋" w:eastAsia="仿宋" w:cs="仿宋"/>
          <w:b/>
          <w:color w:val="auto"/>
          <w:sz w:val="28"/>
          <w:szCs w:val="28"/>
          <w:highlight w:val="none"/>
        </w:rPr>
      </w:pPr>
    </w:p>
    <w:p w14:paraId="44D77B35">
      <w:pPr>
        <w:pStyle w:val="16"/>
        <w:shd w:val="clear" w:fill="FFFFFF"/>
        <w:spacing w:before="0" w:after="0" w:line="360" w:lineRule="auto"/>
        <w:ind w:left="0" w:right="0"/>
        <w:jc w:val="center"/>
        <w:outlineLvl w:val="9"/>
        <w:rPr>
          <w:rFonts w:hint="eastAsia" w:ascii="仿宋" w:hAnsi="仿宋" w:eastAsia="仿宋" w:cs="仿宋"/>
          <w:b/>
          <w:color w:val="auto"/>
          <w:sz w:val="28"/>
          <w:szCs w:val="28"/>
          <w:highlight w:val="none"/>
        </w:rPr>
      </w:pPr>
    </w:p>
    <w:p w14:paraId="7B6B9A78">
      <w:pPr>
        <w:pStyle w:val="16"/>
        <w:keepNext w:val="0"/>
        <w:keepLines w:val="0"/>
        <w:pageBreakBefore w:val="0"/>
        <w:widowControl/>
        <w:kinsoku/>
        <w:wordWrap/>
        <w:overflowPunct/>
        <w:topLinePunct w:val="0"/>
        <w:autoSpaceDE/>
        <w:autoSpaceDN/>
        <w:bidi w:val="0"/>
        <w:adjustRightInd/>
        <w:snapToGrid/>
        <w:spacing w:before="1561" w:beforeLines="500" w:after="0"/>
        <w:ind w:left="0" w:right="0"/>
        <w:jc w:val="center"/>
        <w:textAlignment w:val="auto"/>
        <w:rPr>
          <w:rFonts w:hint="eastAsia" w:ascii="仿宋" w:hAnsi="仿宋" w:eastAsia="仿宋" w:cs="仿宋"/>
          <w:color w:val="auto"/>
          <w:sz w:val="48"/>
          <w:szCs w:val="48"/>
          <w:highlight w:val="none"/>
        </w:rPr>
      </w:pPr>
      <w:r>
        <w:rPr>
          <w:rFonts w:hint="eastAsia" w:ascii="仿宋" w:hAnsi="仿宋" w:eastAsia="仿宋" w:cs="仿宋"/>
          <w:b/>
          <w:color w:val="auto"/>
          <w:sz w:val="48"/>
          <w:szCs w:val="48"/>
          <w:highlight w:val="none"/>
        </w:rPr>
        <w:t>东莞市常平镇中心小学食堂食材采购项目</w:t>
      </w:r>
    </w:p>
    <w:p w14:paraId="128417C2">
      <w:pPr>
        <w:pStyle w:val="16"/>
        <w:keepNext w:val="0"/>
        <w:keepLines w:val="0"/>
        <w:pageBreakBefore w:val="0"/>
        <w:widowControl/>
        <w:kinsoku/>
        <w:wordWrap/>
        <w:overflowPunct/>
        <w:topLinePunct w:val="0"/>
        <w:autoSpaceDE/>
        <w:autoSpaceDN/>
        <w:bidi w:val="0"/>
        <w:adjustRightInd/>
        <w:snapToGrid/>
        <w:spacing w:before="1561" w:beforeLines="500" w:after="0"/>
        <w:ind w:left="0" w:right="0"/>
        <w:jc w:val="center"/>
        <w:textAlignment w:val="auto"/>
        <w:rPr>
          <w:rFonts w:hint="eastAsia" w:ascii="仿宋" w:hAnsi="仿宋" w:eastAsia="仿宋" w:cs="仿宋"/>
          <w:color w:val="auto"/>
          <w:sz w:val="48"/>
          <w:szCs w:val="48"/>
          <w:highlight w:val="none"/>
          <w:lang w:eastAsia="zh-CN"/>
        </w:rPr>
      </w:pPr>
      <w:r>
        <w:rPr>
          <w:rFonts w:hint="eastAsia" w:ascii="仿宋" w:hAnsi="仿宋" w:eastAsia="仿宋" w:cs="仿宋"/>
          <w:b/>
          <w:color w:val="auto"/>
          <w:sz w:val="48"/>
          <w:szCs w:val="48"/>
          <w:highlight w:val="none"/>
        </w:rPr>
        <w:t>合</w:t>
      </w:r>
      <w:r>
        <w:rPr>
          <w:rFonts w:hint="eastAsia" w:ascii="仿宋" w:hAnsi="仿宋" w:eastAsia="仿宋" w:cs="仿宋"/>
          <w:b/>
          <w:color w:val="auto"/>
          <w:sz w:val="48"/>
          <w:szCs w:val="48"/>
          <w:highlight w:val="none"/>
          <w:lang w:val="en-US" w:eastAsia="zh-CN"/>
        </w:rPr>
        <w:t xml:space="preserve"> </w:t>
      </w:r>
      <w:r>
        <w:rPr>
          <w:rFonts w:hint="eastAsia" w:ascii="仿宋" w:hAnsi="仿宋" w:eastAsia="仿宋" w:cs="仿宋"/>
          <w:b/>
          <w:color w:val="auto"/>
          <w:sz w:val="48"/>
          <w:szCs w:val="48"/>
          <w:highlight w:val="none"/>
        </w:rPr>
        <w:t>同</w:t>
      </w:r>
      <w:r>
        <w:rPr>
          <w:rFonts w:hint="eastAsia" w:ascii="仿宋" w:hAnsi="仿宋" w:eastAsia="仿宋" w:cs="仿宋"/>
          <w:b/>
          <w:color w:val="auto"/>
          <w:sz w:val="48"/>
          <w:szCs w:val="48"/>
          <w:highlight w:val="none"/>
          <w:lang w:val="en-US" w:eastAsia="zh-CN"/>
        </w:rPr>
        <w:t xml:space="preserve"> 书</w:t>
      </w:r>
    </w:p>
    <w:p w14:paraId="6DB61FB9">
      <w:pPr>
        <w:pStyle w:val="16"/>
        <w:keepNext w:val="0"/>
        <w:keepLines w:val="0"/>
        <w:pageBreakBefore w:val="0"/>
        <w:widowControl/>
        <w:kinsoku/>
        <w:wordWrap/>
        <w:overflowPunct/>
        <w:topLinePunct w:val="0"/>
        <w:autoSpaceDE/>
        <w:autoSpaceDN/>
        <w:bidi w:val="0"/>
        <w:adjustRightInd/>
        <w:snapToGrid/>
        <w:spacing w:before="3121" w:beforeLines="1000" w:after="0" w:line="720" w:lineRule="auto"/>
        <w:ind w:left="2100" w:leftChars="1000" w:right="0"/>
        <w:jc w:val="left"/>
        <w:textAlignment w:val="auto"/>
        <w:rPr>
          <w:rFonts w:hint="eastAsia" w:ascii="宋体" w:hAnsi="宋体" w:eastAsia="宋体" w:cs="宋体"/>
          <w:color w:val="auto"/>
          <w:highlight w:val="none"/>
        </w:rPr>
      </w:pPr>
      <w:r>
        <w:rPr>
          <w:rFonts w:hint="eastAsia" w:ascii="宋体" w:hAnsi="宋体" w:eastAsia="宋体" w:cs="宋体"/>
          <w:color w:val="auto"/>
          <w:sz w:val="28"/>
          <w:highlight w:val="none"/>
        </w:rPr>
        <w:t>采购计划编号：</w:t>
      </w:r>
      <w:r>
        <w:rPr>
          <w:rFonts w:hint="eastAsia" w:ascii="宋体" w:hAnsi="宋体" w:eastAsia="宋体" w:cs="宋体"/>
          <w:color w:val="auto"/>
          <w:highlight w:val="none"/>
          <w:u w:val="single"/>
        </w:rPr>
        <w:t xml:space="preserve">                          </w:t>
      </w:r>
    </w:p>
    <w:p w14:paraId="283E2996">
      <w:pPr>
        <w:pStyle w:val="16"/>
        <w:keepNext w:val="0"/>
        <w:keepLines w:val="0"/>
        <w:pageBreakBefore w:val="0"/>
        <w:widowControl/>
        <w:kinsoku/>
        <w:wordWrap/>
        <w:overflowPunct/>
        <w:topLinePunct w:val="0"/>
        <w:autoSpaceDE/>
        <w:autoSpaceDN/>
        <w:bidi w:val="0"/>
        <w:adjustRightInd/>
        <w:snapToGrid/>
        <w:spacing w:before="0" w:after="0" w:line="720" w:lineRule="auto"/>
        <w:ind w:left="2100" w:leftChars="1000" w:right="0"/>
        <w:jc w:val="left"/>
        <w:textAlignment w:val="auto"/>
        <w:rPr>
          <w:rFonts w:hint="eastAsia" w:ascii="宋体" w:hAnsi="宋体" w:eastAsia="宋体" w:cs="宋体"/>
          <w:color w:val="auto"/>
          <w:highlight w:val="none"/>
        </w:rPr>
      </w:pPr>
      <w:r>
        <w:rPr>
          <w:rFonts w:hint="eastAsia" w:ascii="宋体" w:hAnsi="宋体" w:eastAsia="宋体" w:cs="宋体"/>
          <w:color w:val="auto"/>
          <w:sz w:val="28"/>
          <w:highlight w:val="none"/>
        </w:rPr>
        <w:t>项</w:t>
      </w:r>
      <w:r>
        <w:rPr>
          <w:rFonts w:hint="eastAsia" w:ascii="宋体" w:hAnsi="宋体" w:eastAsia="宋体" w:cs="宋体"/>
          <w:color w:val="auto"/>
          <w:sz w:val="28"/>
          <w:highlight w:val="none"/>
          <w:lang w:val="en-US" w:eastAsia="zh-CN"/>
        </w:rPr>
        <w:t xml:space="preserve"> </w:t>
      </w:r>
      <w:r>
        <w:rPr>
          <w:rFonts w:hint="eastAsia" w:ascii="宋体" w:hAnsi="宋体" w:eastAsia="宋体" w:cs="宋体"/>
          <w:color w:val="auto"/>
          <w:sz w:val="28"/>
          <w:highlight w:val="none"/>
        </w:rPr>
        <w:t>目</w:t>
      </w:r>
      <w:r>
        <w:rPr>
          <w:rFonts w:hint="eastAsia" w:ascii="宋体" w:hAnsi="宋体" w:eastAsia="宋体" w:cs="宋体"/>
          <w:color w:val="auto"/>
          <w:sz w:val="28"/>
          <w:highlight w:val="none"/>
          <w:lang w:val="en-US" w:eastAsia="zh-CN"/>
        </w:rPr>
        <w:t xml:space="preserve"> </w:t>
      </w:r>
      <w:r>
        <w:rPr>
          <w:rFonts w:hint="eastAsia" w:ascii="宋体" w:hAnsi="宋体" w:eastAsia="宋体" w:cs="宋体"/>
          <w:color w:val="auto"/>
          <w:sz w:val="28"/>
          <w:highlight w:val="none"/>
        </w:rPr>
        <w:t>编</w:t>
      </w:r>
      <w:r>
        <w:rPr>
          <w:rFonts w:hint="eastAsia" w:ascii="宋体" w:hAnsi="宋体" w:eastAsia="宋体" w:cs="宋体"/>
          <w:color w:val="auto"/>
          <w:sz w:val="28"/>
          <w:highlight w:val="none"/>
          <w:lang w:val="en-US" w:eastAsia="zh-CN"/>
        </w:rPr>
        <w:t xml:space="preserve"> </w:t>
      </w:r>
      <w:r>
        <w:rPr>
          <w:rFonts w:hint="eastAsia" w:ascii="宋体" w:hAnsi="宋体" w:eastAsia="宋体" w:cs="宋体"/>
          <w:color w:val="auto"/>
          <w:sz w:val="28"/>
          <w:highlight w:val="none"/>
        </w:rPr>
        <w:t>号：</w:t>
      </w:r>
      <w:r>
        <w:rPr>
          <w:rFonts w:hint="eastAsia" w:ascii="宋体" w:hAnsi="宋体" w:eastAsia="宋体" w:cs="宋体"/>
          <w:color w:val="auto"/>
          <w:highlight w:val="none"/>
          <w:u w:val="single"/>
        </w:rPr>
        <w:t xml:space="preserve">                            </w:t>
      </w:r>
    </w:p>
    <w:p w14:paraId="245DC054">
      <w:pPr>
        <w:pStyle w:val="16"/>
        <w:keepNext w:val="0"/>
        <w:keepLines w:val="0"/>
        <w:pageBreakBefore w:val="0"/>
        <w:widowControl/>
        <w:kinsoku/>
        <w:wordWrap/>
        <w:overflowPunct/>
        <w:topLinePunct w:val="0"/>
        <w:autoSpaceDE/>
        <w:autoSpaceDN/>
        <w:bidi w:val="0"/>
        <w:adjustRightInd/>
        <w:snapToGrid/>
        <w:spacing w:before="0" w:after="0" w:line="720" w:lineRule="auto"/>
        <w:ind w:left="2100" w:leftChars="1000" w:right="0"/>
        <w:jc w:val="left"/>
        <w:textAlignment w:val="auto"/>
        <w:rPr>
          <w:rFonts w:hint="eastAsia" w:ascii="宋体" w:hAnsi="宋体" w:eastAsia="宋体" w:cs="宋体"/>
          <w:color w:val="auto"/>
          <w:highlight w:val="none"/>
        </w:rPr>
      </w:pPr>
      <w:r>
        <w:rPr>
          <w:rFonts w:hint="eastAsia" w:ascii="宋体" w:hAnsi="宋体" w:eastAsia="宋体" w:cs="宋体"/>
          <w:color w:val="auto"/>
          <w:sz w:val="28"/>
          <w:highlight w:val="none"/>
        </w:rPr>
        <w:t>项</w:t>
      </w:r>
      <w:r>
        <w:rPr>
          <w:rFonts w:hint="eastAsia" w:ascii="宋体" w:hAnsi="宋体" w:eastAsia="宋体" w:cs="宋体"/>
          <w:color w:val="auto"/>
          <w:sz w:val="28"/>
          <w:highlight w:val="none"/>
          <w:lang w:val="en-US" w:eastAsia="zh-CN"/>
        </w:rPr>
        <w:t xml:space="preserve"> </w:t>
      </w:r>
      <w:r>
        <w:rPr>
          <w:rFonts w:hint="eastAsia" w:ascii="宋体" w:hAnsi="宋体" w:eastAsia="宋体" w:cs="宋体"/>
          <w:color w:val="auto"/>
          <w:sz w:val="28"/>
          <w:highlight w:val="none"/>
        </w:rPr>
        <w:t>目</w:t>
      </w:r>
      <w:r>
        <w:rPr>
          <w:rFonts w:hint="eastAsia" w:ascii="宋体" w:hAnsi="宋体" w:eastAsia="宋体" w:cs="宋体"/>
          <w:color w:val="auto"/>
          <w:sz w:val="28"/>
          <w:highlight w:val="none"/>
          <w:lang w:val="en-US" w:eastAsia="zh-CN"/>
        </w:rPr>
        <w:t xml:space="preserve"> </w:t>
      </w:r>
      <w:r>
        <w:rPr>
          <w:rFonts w:hint="eastAsia" w:ascii="宋体" w:hAnsi="宋体" w:eastAsia="宋体" w:cs="宋体"/>
          <w:color w:val="auto"/>
          <w:sz w:val="28"/>
          <w:highlight w:val="none"/>
        </w:rPr>
        <w:t>名</w:t>
      </w:r>
      <w:r>
        <w:rPr>
          <w:rFonts w:hint="eastAsia" w:ascii="宋体" w:hAnsi="宋体" w:eastAsia="宋体" w:cs="宋体"/>
          <w:color w:val="auto"/>
          <w:sz w:val="28"/>
          <w:highlight w:val="none"/>
          <w:lang w:val="en-US" w:eastAsia="zh-CN"/>
        </w:rPr>
        <w:t xml:space="preserve"> </w:t>
      </w:r>
      <w:r>
        <w:rPr>
          <w:rFonts w:hint="eastAsia" w:ascii="宋体" w:hAnsi="宋体" w:eastAsia="宋体" w:cs="宋体"/>
          <w:color w:val="auto"/>
          <w:sz w:val="28"/>
          <w:highlight w:val="none"/>
        </w:rPr>
        <w:t>称：</w:t>
      </w:r>
      <w:r>
        <w:rPr>
          <w:rFonts w:hint="eastAsia" w:ascii="宋体" w:hAnsi="宋体" w:eastAsia="宋体" w:cs="宋体"/>
          <w:color w:val="auto"/>
          <w:highlight w:val="none"/>
          <w:u w:val="single"/>
        </w:rPr>
        <w:t xml:space="preserve">                            </w:t>
      </w:r>
    </w:p>
    <w:p w14:paraId="26ED266C">
      <w:pPr>
        <w:pStyle w:val="16"/>
        <w:keepNext w:val="0"/>
        <w:keepLines w:val="0"/>
        <w:pageBreakBefore w:val="0"/>
        <w:widowControl/>
        <w:kinsoku/>
        <w:wordWrap/>
        <w:overflowPunct/>
        <w:topLinePunct w:val="0"/>
        <w:autoSpaceDE/>
        <w:autoSpaceDN/>
        <w:bidi w:val="0"/>
        <w:adjustRightInd/>
        <w:snapToGrid/>
        <w:spacing w:before="0" w:after="0" w:line="720" w:lineRule="auto"/>
        <w:ind w:left="2100" w:leftChars="1000" w:right="0"/>
        <w:jc w:val="left"/>
        <w:textAlignment w:val="auto"/>
        <w:rPr>
          <w:rFonts w:hint="eastAsia" w:ascii="宋体" w:hAnsi="宋体" w:eastAsia="宋体" w:cs="宋体"/>
          <w:color w:val="auto"/>
          <w:highlight w:val="none"/>
        </w:rPr>
      </w:pPr>
      <w:r>
        <w:rPr>
          <w:rFonts w:hint="eastAsia" w:ascii="宋体" w:hAnsi="宋体" w:eastAsia="宋体" w:cs="宋体"/>
          <w:color w:val="auto"/>
          <w:sz w:val="28"/>
          <w:highlight w:val="none"/>
          <w:lang w:val="en-US" w:eastAsia="zh-CN"/>
        </w:rPr>
        <w:t>采 购 包 号</w:t>
      </w:r>
      <w:r>
        <w:rPr>
          <w:rFonts w:hint="eastAsia" w:ascii="宋体" w:hAnsi="宋体" w:eastAsia="宋体" w:cs="宋体"/>
          <w:color w:val="auto"/>
          <w:sz w:val="28"/>
          <w:highlight w:val="none"/>
        </w:rPr>
        <w:t>：</w:t>
      </w:r>
      <w:r>
        <w:rPr>
          <w:rFonts w:hint="eastAsia" w:ascii="宋体" w:hAnsi="宋体" w:eastAsia="宋体" w:cs="宋体"/>
          <w:color w:val="auto"/>
          <w:highlight w:val="none"/>
          <w:u w:val="single"/>
        </w:rPr>
        <w:t xml:space="preserve">                            </w:t>
      </w:r>
    </w:p>
    <w:p w14:paraId="1F5C9685">
      <w:pP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br w:type="page"/>
      </w:r>
    </w:p>
    <w:p w14:paraId="2E63C9E0">
      <w:pPr>
        <w:keepNext w:val="0"/>
        <w:keepLines/>
        <w:pageBreakBefore w:val="0"/>
        <w:widowControl w:val="0"/>
        <w:kinsoku/>
        <w:wordWrap/>
        <w:overflowPunct/>
        <w:topLinePunct w:val="0"/>
        <w:bidi w:val="0"/>
        <w:snapToGrid w:val="0"/>
        <w:spacing w:line="360" w:lineRule="auto"/>
        <w:textAlignment w:val="auto"/>
        <w:rPr>
          <w:rFonts w:hint="default"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适用于采购包1</w:t>
      </w:r>
    </w:p>
    <w:p w14:paraId="7854F0AE">
      <w:pPr>
        <w:keepNext w:val="0"/>
        <w:keepLines/>
        <w:pageBreakBefore w:val="0"/>
        <w:widowControl w:val="0"/>
        <w:kinsoku/>
        <w:wordWrap/>
        <w:overflowPunct/>
        <w:topLinePunct w:val="0"/>
        <w:bidi w:val="0"/>
        <w:snapToGrid w:val="0"/>
        <w:spacing w:line="360" w:lineRule="auto"/>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甲方（采购人）：</w:t>
      </w:r>
      <w:r>
        <w:rPr>
          <w:rFonts w:hint="eastAsia" w:ascii="仿宋" w:hAnsi="仿宋" w:eastAsia="仿宋" w:cs="仿宋"/>
          <w:color w:val="auto"/>
          <w:sz w:val="28"/>
          <w:szCs w:val="28"/>
          <w:highlight w:val="none"/>
          <w:u w:val="single"/>
        </w:rPr>
        <w:t>东莞市常平镇中心小学</w:t>
      </w:r>
    </w:p>
    <w:p w14:paraId="6DA243B6">
      <w:pPr>
        <w:keepNext w:val="0"/>
        <w:pageBreakBefore w:val="0"/>
        <w:widowControl w:val="0"/>
        <w:kinsoku/>
        <w:wordWrap/>
        <w:overflowPunct/>
        <w:topLinePunct w:val="0"/>
        <w:bidi w:val="0"/>
        <w:snapToGrid w:val="0"/>
        <w:spacing w:line="360" w:lineRule="auto"/>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乙方（中标人）：</w:t>
      </w:r>
      <w:r>
        <w:rPr>
          <w:rFonts w:hint="eastAsia" w:ascii="仿宋" w:hAnsi="仿宋" w:eastAsia="仿宋" w:cs="仿宋"/>
          <w:color w:val="auto"/>
          <w:sz w:val="28"/>
          <w:szCs w:val="28"/>
          <w:highlight w:val="none"/>
          <w:u w:val="single"/>
        </w:rPr>
        <w:t xml:space="preserve">                    </w:t>
      </w:r>
    </w:p>
    <w:p w14:paraId="050C8ABE">
      <w:pPr>
        <w:keepNext w:val="0"/>
        <w:pageBreakBefore w:val="0"/>
        <w:widowControl w:val="0"/>
        <w:kinsoku/>
        <w:wordWrap/>
        <w:overflowPunct/>
        <w:topLinePunct w:val="0"/>
        <w:bidi w:val="0"/>
        <w:snapToGrid w:val="0"/>
        <w:spacing w:line="360" w:lineRule="auto"/>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根据</w:t>
      </w:r>
      <w:bookmarkStart w:id="12" w:name="_Hlk90988984"/>
      <w:r>
        <w:rPr>
          <w:rFonts w:hint="eastAsia" w:ascii="仿宋" w:hAnsi="仿宋" w:eastAsia="仿宋" w:cs="仿宋"/>
          <w:color w:val="auto"/>
          <w:sz w:val="28"/>
          <w:szCs w:val="28"/>
          <w:highlight w:val="none"/>
        </w:rPr>
        <w:t>《中华人民共和国民法典</w:t>
      </w:r>
      <w:bookmarkEnd w:id="12"/>
      <w:r>
        <w:rPr>
          <w:rFonts w:hint="eastAsia" w:ascii="仿宋" w:hAnsi="仿宋" w:eastAsia="仿宋" w:cs="仿宋"/>
          <w:color w:val="auto"/>
          <w:sz w:val="28"/>
          <w:szCs w:val="28"/>
          <w:highlight w:val="none"/>
        </w:rPr>
        <w:t>》及招标文件、中标通知书等相关资料的要求，经双方协商一致，签订本合同，共同遵守如下条款。</w:t>
      </w:r>
    </w:p>
    <w:p w14:paraId="4D33449C">
      <w:pPr>
        <w:pStyle w:val="19"/>
        <w:keepNext w:val="0"/>
        <w:pageBreakBefore w:val="0"/>
        <w:widowControl w:val="0"/>
        <w:numPr>
          <w:ilvl w:val="0"/>
          <w:numId w:val="0"/>
        </w:numPr>
        <w:kinsoku/>
        <w:wordWrap/>
        <w:overflowPunct/>
        <w:topLinePunct w:val="0"/>
        <w:bidi w:val="0"/>
        <w:snapToGrid w:val="0"/>
        <w:spacing w:line="360" w:lineRule="auto"/>
        <w:ind w:left="420" w:leftChars="0" w:hanging="420" w:firstLineChars="0"/>
        <w:textAlignment w:val="auto"/>
        <w:rPr>
          <w:rFonts w:hint="eastAsia" w:ascii="仿宋" w:hAnsi="仿宋" w:eastAsia="仿宋" w:cs="仿宋"/>
          <w:b/>
          <w:bCs/>
          <w:color w:val="auto"/>
          <w:spacing w:val="20"/>
          <w:sz w:val="28"/>
          <w:szCs w:val="28"/>
          <w:highlight w:val="none"/>
        </w:rPr>
      </w:pPr>
      <w:r>
        <w:rPr>
          <w:rFonts w:hint="eastAsia" w:ascii="仿宋" w:hAnsi="仿宋" w:eastAsia="仿宋" w:cs="仿宋"/>
          <w:b/>
          <w:bCs/>
          <w:color w:val="auto"/>
          <w:spacing w:val="20"/>
          <w:kern w:val="2"/>
          <w:sz w:val="28"/>
          <w:szCs w:val="28"/>
          <w:highlight w:val="none"/>
          <w:lang w:val="en-US" w:eastAsia="zh-CN" w:bidi="ar-SA"/>
        </w:rPr>
        <w:t>一、</w:t>
      </w:r>
      <w:r>
        <w:rPr>
          <w:rFonts w:hint="eastAsia" w:ascii="仿宋" w:hAnsi="仿宋" w:eastAsia="仿宋" w:cs="仿宋"/>
          <w:b/>
          <w:color w:val="auto"/>
          <w:spacing w:val="20"/>
          <w:sz w:val="28"/>
          <w:szCs w:val="28"/>
          <w:highlight w:val="none"/>
        </w:rPr>
        <w:t>合同项目</w:t>
      </w:r>
    </w:p>
    <w:p w14:paraId="42DBE73E">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2"/>
          <w:sz w:val="28"/>
          <w:szCs w:val="28"/>
          <w:highlight w:val="none"/>
          <w:lang w:val="en-US" w:eastAsia="zh-CN" w:bidi="ar-SA"/>
        </w:rPr>
        <w:t>1、</w:t>
      </w:r>
      <w:r>
        <w:rPr>
          <w:rFonts w:hint="eastAsia" w:ascii="仿宋" w:hAnsi="仿宋" w:eastAsia="仿宋" w:cs="仿宋"/>
          <w:color w:val="auto"/>
          <w:sz w:val="28"/>
          <w:szCs w:val="28"/>
          <w:highlight w:val="none"/>
        </w:rPr>
        <w:t>项目名称：</w:t>
      </w:r>
      <w:r>
        <w:rPr>
          <w:rFonts w:hint="eastAsia" w:ascii="仿宋" w:hAnsi="仿宋" w:eastAsia="仿宋" w:cs="仿宋"/>
          <w:color w:val="auto"/>
          <w:sz w:val="28"/>
          <w:szCs w:val="28"/>
          <w:highlight w:val="none"/>
          <w:u w:val="single"/>
        </w:rPr>
        <w:t>东莞市常平镇中心小学食堂食材采购项目</w:t>
      </w:r>
    </w:p>
    <w:p w14:paraId="094315CF">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kern w:val="2"/>
          <w:sz w:val="28"/>
          <w:szCs w:val="28"/>
          <w:highlight w:val="none"/>
          <w:lang w:val="en-US" w:eastAsia="zh-CN" w:bidi="ar-SA"/>
        </w:rPr>
        <w:t>2、</w:t>
      </w:r>
      <w:r>
        <w:rPr>
          <w:rFonts w:hint="eastAsia" w:ascii="仿宋" w:hAnsi="仿宋" w:eastAsia="仿宋" w:cs="仿宋"/>
          <w:color w:val="auto"/>
          <w:sz w:val="28"/>
          <w:szCs w:val="28"/>
          <w:highlight w:val="none"/>
        </w:rPr>
        <w:t>项目编号：</w:t>
      </w:r>
      <w:r>
        <w:rPr>
          <w:rFonts w:hint="eastAsia" w:ascii="仿宋" w:hAnsi="仿宋" w:eastAsia="仿宋" w:cs="仿宋"/>
          <w:color w:val="auto"/>
          <w:sz w:val="28"/>
          <w:szCs w:val="28"/>
          <w:highlight w:val="none"/>
          <w:u w:val="single"/>
        </w:rPr>
        <w:t>DSZB25DG005C</w:t>
      </w:r>
    </w:p>
    <w:p w14:paraId="5328F906">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none"/>
          <w:lang w:val="en-US" w:eastAsia="zh-CN"/>
        </w:rPr>
        <w:t>3、采购包号：</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en-US" w:eastAsia="zh-CN"/>
        </w:rPr>
        <w:t>1</w:t>
      </w:r>
      <w:r>
        <w:rPr>
          <w:rFonts w:hint="eastAsia" w:ascii="仿宋" w:hAnsi="仿宋" w:eastAsia="仿宋" w:cs="仿宋"/>
          <w:color w:val="auto"/>
          <w:sz w:val="28"/>
          <w:szCs w:val="28"/>
          <w:highlight w:val="none"/>
          <w:u w:val="single"/>
        </w:rPr>
        <w:t xml:space="preserve"> </w:t>
      </w:r>
    </w:p>
    <w:p w14:paraId="56164173">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default" w:ascii="仿宋" w:hAnsi="仿宋" w:eastAsia="仿宋" w:cs="仿宋"/>
          <w:color w:val="auto"/>
          <w:sz w:val="28"/>
          <w:szCs w:val="28"/>
          <w:highlight w:val="none"/>
          <w:u w:val="none"/>
          <w:lang w:val="en-US" w:eastAsia="zh-CN"/>
        </w:rPr>
      </w:pPr>
      <w:r>
        <w:rPr>
          <w:rFonts w:hint="default" w:ascii="仿宋" w:hAnsi="仿宋" w:eastAsia="仿宋" w:cs="仿宋"/>
          <w:color w:val="auto"/>
          <w:sz w:val="28"/>
          <w:szCs w:val="28"/>
          <w:highlight w:val="none"/>
          <w:u w:val="none"/>
          <w:lang w:val="en-US" w:eastAsia="zh-CN"/>
        </w:rPr>
        <w:t>4、中标（成交）通知书、投标文件、招标文件（含招标文件澄清通知）等均属于本合同的组成部分。</w:t>
      </w:r>
    </w:p>
    <w:p w14:paraId="6DA86955">
      <w:pPr>
        <w:pStyle w:val="19"/>
        <w:keepNext w:val="0"/>
        <w:pageBreakBefore w:val="0"/>
        <w:widowControl w:val="0"/>
        <w:numPr>
          <w:ilvl w:val="0"/>
          <w:numId w:val="0"/>
        </w:numPr>
        <w:kinsoku/>
        <w:wordWrap/>
        <w:overflowPunct/>
        <w:topLinePunct w:val="0"/>
        <w:bidi w:val="0"/>
        <w:snapToGrid w:val="0"/>
        <w:spacing w:line="360" w:lineRule="auto"/>
        <w:ind w:left="420" w:leftChars="0" w:hanging="420" w:firstLineChars="0"/>
        <w:textAlignment w:val="auto"/>
        <w:rPr>
          <w:rFonts w:hint="eastAsia" w:ascii="仿宋" w:hAnsi="仿宋" w:eastAsia="仿宋" w:cs="仿宋"/>
          <w:b/>
          <w:color w:val="auto"/>
          <w:spacing w:val="20"/>
          <w:sz w:val="28"/>
          <w:szCs w:val="28"/>
          <w:highlight w:val="none"/>
        </w:rPr>
      </w:pPr>
      <w:r>
        <w:rPr>
          <w:rFonts w:hint="eastAsia" w:ascii="仿宋" w:hAnsi="仿宋" w:eastAsia="仿宋" w:cs="仿宋"/>
          <w:b/>
          <w:color w:val="auto"/>
          <w:spacing w:val="20"/>
          <w:kern w:val="2"/>
          <w:sz w:val="28"/>
          <w:szCs w:val="28"/>
          <w:highlight w:val="none"/>
          <w:lang w:val="en-US" w:eastAsia="zh-CN" w:bidi="ar-SA"/>
        </w:rPr>
        <w:t>二、</w:t>
      </w:r>
      <w:r>
        <w:rPr>
          <w:rFonts w:hint="eastAsia" w:ascii="仿宋" w:hAnsi="仿宋" w:eastAsia="仿宋" w:cs="仿宋"/>
          <w:b/>
          <w:color w:val="auto"/>
          <w:spacing w:val="20"/>
          <w:sz w:val="28"/>
          <w:szCs w:val="28"/>
          <w:highlight w:val="none"/>
        </w:rPr>
        <w:t>项目概况</w:t>
      </w:r>
    </w:p>
    <w:p w14:paraId="70DDD87D">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2"/>
          <w:sz w:val="28"/>
          <w:szCs w:val="28"/>
          <w:highlight w:val="none"/>
          <w:lang w:val="en-US" w:eastAsia="zh-CN" w:bidi="ar-SA"/>
        </w:rPr>
        <w:t>1、</w:t>
      </w:r>
      <w:r>
        <w:rPr>
          <w:rFonts w:hint="eastAsia" w:ascii="仿宋" w:hAnsi="仿宋" w:eastAsia="仿宋" w:cs="仿宋"/>
          <w:color w:val="auto"/>
          <w:sz w:val="28"/>
          <w:szCs w:val="28"/>
          <w:highlight w:val="none"/>
        </w:rPr>
        <w:t>项目概况：</w:t>
      </w:r>
      <w:r>
        <w:rPr>
          <w:rFonts w:hint="eastAsia" w:ascii="仿宋" w:hAnsi="仿宋" w:eastAsia="仿宋" w:cs="仿宋"/>
          <w:color w:val="auto"/>
          <w:sz w:val="28"/>
          <w:szCs w:val="28"/>
          <w:highlight w:val="none"/>
          <w:u w:val="single"/>
          <w:lang w:val="en-US" w:eastAsia="zh-CN"/>
        </w:rPr>
        <w:t>甲方</w:t>
      </w:r>
      <w:r>
        <w:rPr>
          <w:rFonts w:hint="eastAsia" w:ascii="仿宋" w:hAnsi="仿宋" w:eastAsia="仿宋" w:cs="仿宋"/>
          <w:color w:val="auto"/>
          <w:sz w:val="28"/>
          <w:szCs w:val="28"/>
          <w:highlight w:val="none"/>
          <w:u w:val="single"/>
        </w:rPr>
        <w:t>通过公开招标方式确定</w:t>
      </w:r>
      <w:r>
        <w:rPr>
          <w:rFonts w:hint="eastAsia" w:ascii="仿宋" w:hAnsi="仿宋" w:eastAsia="仿宋" w:cs="仿宋"/>
          <w:color w:val="auto"/>
          <w:sz w:val="28"/>
          <w:szCs w:val="28"/>
          <w:highlight w:val="none"/>
          <w:u w:val="single"/>
          <w:lang w:val="en-US" w:eastAsia="zh-CN"/>
        </w:rPr>
        <w:t>乙方</w:t>
      </w:r>
      <w:r>
        <w:rPr>
          <w:rFonts w:hint="eastAsia" w:ascii="仿宋" w:hAnsi="仿宋" w:eastAsia="仿宋" w:cs="仿宋"/>
          <w:color w:val="auto"/>
          <w:sz w:val="28"/>
          <w:szCs w:val="28"/>
          <w:highlight w:val="none"/>
          <w:u w:val="single"/>
        </w:rPr>
        <w:t>为东莞市常平镇中心小学提</w:t>
      </w:r>
      <w:r>
        <w:rPr>
          <w:rFonts w:hint="eastAsia" w:ascii="仿宋" w:hAnsi="仿宋" w:eastAsia="仿宋" w:cs="仿宋"/>
          <w:color w:val="auto"/>
          <w:sz w:val="28"/>
          <w:szCs w:val="28"/>
          <w:highlight w:val="none"/>
          <w:u w:val="single"/>
          <w:lang w:eastAsia="zh-CN"/>
        </w:rPr>
        <w:t>蔬菜、鲜肉及水产类食材配送服务</w:t>
      </w:r>
      <w:r>
        <w:rPr>
          <w:rFonts w:hint="eastAsia" w:ascii="仿宋" w:hAnsi="仿宋" w:eastAsia="仿宋" w:cs="仿宋"/>
          <w:color w:val="auto"/>
          <w:sz w:val="28"/>
          <w:szCs w:val="28"/>
          <w:highlight w:val="none"/>
          <w:u w:val="single"/>
        </w:rPr>
        <w:t>。</w:t>
      </w:r>
    </w:p>
    <w:p w14:paraId="09C721EF">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kern w:val="2"/>
          <w:sz w:val="28"/>
          <w:szCs w:val="28"/>
          <w:highlight w:val="none"/>
          <w:lang w:val="en-US" w:eastAsia="zh-CN" w:bidi="ar-SA"/>
        </w:rPr>
        <w:t>2、</w:t>
      </w:r>
      <w:r>
        <w:rPr>
          <w:rFonts w:hint="eastAsia" w:ascii="仿宋" w:hAnsi="仿宋" w:eastAsia="仿宋" w:cs="仿宋"/>
          <w:color w:val="auto"/>
          <w:sz w:val="28"/>
          <w:szCs w:val="28"/>
          <w:highlight w:val="none"/>
        </w:rPr>
        <w:t>服务范围及内容：</w:t>
      </w:r>
      <w:r>
        <w:rPr>
          <w:rFonts w:hint="eastAsia" w:ascii="仿宋" w:hAnsi="仿宋" w:eastAsia="仿宋" w:cs="仿宋"/>
          <w:color w:val="auto"/>
          <w:sz w:val="28"/>
          <w:szCs w:val="28"/>
          <w:highlight w:val="none"/>
          <w:u w:val="single"/>
          <w:lang w:val="en-US" w:eastAsia="zh-CN"/>
        </w:rPr>
        <w:t>乙方</w:t>
      </w:r>
      <w:r>
        <w:rPr>
          <w:rFonts w:hint="eastAsia" w:ascii="仿宋" w:hAnsi="仿宋" w:eastAsia="仿宋" w:cs="仿宋"/>
          <w:color w:val="auto"/>
          <w:sz w:val="28"/>
          <w:szCs w:val="28"/>
          <w:highlight w:val="none"/>
          <w:u w:val="single"/>
        </w:rPr>
        <w:t>为</w:t>
      </w:r>
      <w:r>
        <w:rPr>
          <w:rFonts w:hint="eastAsia" w:ascii="仿宋" w:hAnsi="仿宋" w:eastAsia="仿宋" w:cs="仿宋"/>
          <w:color w:val="auto"/>
          <w:sz w:val="28"/>
          <w:szCs w:val="28"/>
          <w:highlight w:val="none"/>
          <w:u w:val="single"/>
          <w:lang w:val="en-US" w:eastAsia="zh-CN"/>
        </w:rPr>
        <w:t>甲方</w:t>
      </w:r>
      <w:r>
        <w:rPr>
          <w:rFonts w:hint="eastAsia" w:ascii="仿宋" w:hAnsi="仿宋" w:eastAsia="仿宋" w:cs="仿宋"/>
          <w:color w:val="auto"/>
          <w:sz w:val="28"/>
          <w:szCs w:val="28"/>
          <w:highlight w:val="none"/>
          <w:u w:val="single"/>
        </w:rPr>
        <w:t>供应蔬菜、鲜肉及水产类等生鲜食材，供货品种</w:t>
      </w:r>
      <w:r>
        <w:rPr>
          <w:rFonts w:hint="eastAsia" w:ascii="仿宋" w:hAnsi="仿宋" w:eastAsia="仿宋" w:cs="仿宋"/>
          <w:color w:val="auto"/>
          <w:sz w:val="28"/>
          <w:szCs w:val="28"/>
          <w:highlight w:val="none"/>
          <w:u w:val="single"/>
          <w:lang w:val="en-US" w:eastAsia="zh-CN"/>
        </w:rPr>
        <w:t>详见合同附件1：《食材配送品目清单》</w:t>
      </w:r>
      <w:r>
        <w:rPr>
          <w:rFonts w:hint="eastAsia" w:ascii="仿宋" w:hAnsi="仿宋" w:eastAsia="仿宋" w:cs="仿宋"/>
          <w:color w:val="auto"/>
          <w:sz w:val="28"/>
          <w:szCs w:val="28"/>
          <w:highlight w:val="none"/>
          <w:u w:val="single"/>
        </w:rPr>
        <w:t>。</w:t>
      </w:r>
      <w:r>
        <w:rPr>
          <w:rFonts w:hint="eastAsia" w:ascii="仿宋" w:hAnsi="仿宋" w:eastAsia="仿宋" w:cs="仿宋"/>
          <w:color w:val="auto"/>
          <w:sz w:val="28"/>
          <w:szCs w:val="28"/>
          <w:highlight w:val="none"/>
          <w:u w:val="single"/>
          <w:lang w:val="en-US" w:eastAsia="zh-CN"/>
        </w:rPr>
        <w:t>乙方</w:t>
      </w:r>
      <w:r>
        <w:rPr>
          <w:rFonts w:hint="eastAsia" w:ascii="仿宋" w:hAnsi="仿宋" w:eastAsia="仿宋" w:cs="仿宋"/>
          <w:color w:val="auto"/>
          <w:sz w:val="28"/>
          <w:szCs w:val="28"/>
          <w:highlight w:val="none"/>
          <w:u w:val="single"/>
        </w:rPr>
        <w:t>供应上述种类的全部，所供应的货品必须安全卫生，量足价平，并提供有完善的售后服务。</w:t>
      </w:r>
    </w:p>
    <w:p w14:paraId="1F46ADB4">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default"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u w:val="none"/>
          <w:lang w:val="en-US" w:eastAsia="zh-CN"/>
        </w:rPr>
        <w:t>3、服务地点：</w:t>
      </w:r>
      <w:r>
        <w:rPr>
          <w:rFonts w:hint="eastAsia" w:ascii="仿宋" w:hAnsi="仿宋" w:eastAsia="仿宋" w:cs="仿宋"/>
          <w:color w:val="auto"/>
          <w:sz w:val="28"/>
          <w:szCs w:val="28"/>
          <w:highlight w:val="none"/>
          <w:u w:val="single"/>
          <w:lang w:val="en-US" w:eastAsia="zh-CN"/>
        </w:rPr>
        <w:t>东莞市常平镇或甲方指定的地点。</w:t>
      </w:r>
    </w:p>
    <w:p w14:paraId="376D7E4E">
      <w:pPr>
        <w:pStyle w:val="19"/>
        <w:keepNext w:val="0"/>
        <w:pageBreakBefore w:val="0"/>
        <w:widowControl w:val="0"/>
        <w:numPr>
          <w:ilvl w:val="0"/>
          <w:numId w:val="0"/>
        </w:numPr>
        <w:kinsoku/>
        <w:wordWrap/>
        <w:overflowPunct/>
        <w:topLinePunct w:val="0"/>
        <w:bidi w:val="0"/>
        <w:snapToGrid w:val="0"/>
        <w:spacing w:line="360" w:lineRule="auto"/>
        <w:ind w:left="420" w:leftChars="0" w:hanging="420" w:firstLineChars="0"/>
        <w:textAlignment w:val="auto"/>
        <w:rPr>
          <w:rFonts w:hint="eastAsia" w:ascii="仿宋" w:hAnsi="仿宋" w:eastAsia="仿宋" w:cs="仿宋"/>
          <w:b/>
          <w:color w:val="auto"/>
          <w:spacing w:val="20"/>
          <w:sz w:val="28"/>
          <w:szCs w:val="28"/>
          <w:highlight w:val="none"/>
        </w:rPr>
      </w:pPr>
      <w:r>
        <w:rPr>
          <w:rFonts w:hint="eastAsia" w:ascii="仿宋" w:hAnsi="仿宋" w:eastAsia="仿宋" w:cs="仿宋"/>
          <w:b/>
          <w:color w:val="auto"/>
          <w:spacing w:val="20"/>
          <w:kern w:val="2"/>
          <w:sz w:val="28"/>
          <w:szCs w:val="28"/>
          <w:highlight w:val="none"/>
          <w:lang w:val="en-US" w:eastAsia="zh-CN" w:bidi="ar-SA"/>
        </w:rPr>
        <w:t>三、</w:t>
      </w:r>
      <w:r>
        <w:rPr>
          <w:rFonts w:hint="eastAsia" w:ascii="仿宋" w:hAnsi="仿宋" w:eastAsia="仿宋" w:cs="仿宋"/>
          <w:b/>
          <w:color w:val="auto"/>
          <w:spacing w:val="20"/>
          <w:sz w:val="28"/>
          <w:szCs w:val="28"/>
          <w:highlight w:val="none"/>
        </w:rPr>
        <w:t>总体要求</w:t>
      </w:r>
    </w:p>
    <w:p w14:paraId="7E933DD0">
      <w:pPr>
        <w:pStyle w:val="19"/>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left="0" w:leftChars="0"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2"/>
          <w:sz w:val="28"/>
          <w:szCs w:val="28"/>
          <w:highlight w:val="none"/>
          <w:lang w:val="en-US" w:eastAsia="zh-CN" w:bidi="ar-SA"/>
        </w:rPr>
        <w:t>1、</w:t>
      </w:r>
      <w:r>
        <w:rPr>
          <w:rFonts w:hint="eastAsia" w:ascii="仿宋" w:hAnsi="仿宋" w:eastAsia="仿宋" w:cs="仿宋"/>
          <w:color w:val="auto"/>
          <w:sz w:val="28"/>
          <w:szCs w:val="28"/>
          <w:highlight w:val="none"/>
        </w:rPr>
        <w:t>甲方权利和义务</w:t>
      </w:r>
    </w:p>
    <w:p w14:paraId="27307288">
      <w:pPr>
        <w:pStyle w:val="19"/>
        <w:keepNext w:val="0"/>
        <w:keepLines w:val="0"/>
        <w:pageBreakBefore w:val="0"/>
        <w:widowControl w:val="0"/>
        <w:numPr>
          <w:ilvl w:val="0"/>
          <w:numId w:val="0"/>
        </w:numPr>
        <w:tabs>
          <w:tab w:val="left" w:pos="108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（1）甲方享有监督权及建议权，可随时检查乙方的服务履行情况，并向乙方提出整改意见。</w:t>
      </w:r>
    </w:p>
    <w:p w14:paraId="48B5ADFC">
      <w:pPr>
        <w:pStyle w:val="19"/>
        <w:keepNext w:val="0"/>
        <w:keepLines w:val="0"/>
        <w:pageBreakBefore w:val="0"/>
        <w:widowControl w:val="0"/>
        <w:numPr>
          <w:ilvl w:val="0"/>
          <w:numId w:val="0"/>
        </w:numPr>
        <w:tabs>
          <w:tab w:val="left" w:pos="108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2）当乙方发生服务违约时，则甲方有权按约定要求乙方承担违约责任，涉及损害赔偿、违约金支付的，甲方有权优先从应在支付乙方合同款项中进行扣除，应付款项不足以扣除的，甲方有权从履约保证金中扣除或自履约保函中提取相应金额，仍不足以覆盖的，甲方有权要求乙方另行支付。</w:t>
      </w:r>
    </w:p>
    <w:p w14:paraId="48CEA595">
      <w:pPr>
        <w:pStyle w:val="19"/>
        <w:keepNext w:val="0"/>
        <w:keepLines w:val="0"/>
        <w:pageBreakBefore w:val="0"/>
        <w:widowControl w:val="0"/>
        <w:numPr>
          <w:ilvl w:val="0"/>
          <w:numId w:val="0"/>
        </w:numPr>
        <w:tabs>
          <w:tab w:val="left" w:pos="108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（3）在乙方提供服务时，如对甲方或甲方人员造成了财物损坏、人身伤害的，甲方有权要求乙方赔偿。</w:t>
      </w:r>
    </w:p>
    <w:p w14:paraId="26560ACC">
      <w:pPr>
        <w:pStyle w:val="19"/>
        <w:keepNext w:val="0"/>
        <w:keepLines w:val="0"/>
        <w:pageBreakBefore w:val="0"/>
        <w:widowControl w:val="0"/>
        <w:numPr>
          <w:ilvl w:val="0"/>
          <w:numId w:val="0"/>
        </w:numPr>
        <w:tabs>
          <w:tab w:val="left" w:pos="108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2"/>
          <w:sz w:val="28"/>
          <w:szCs w:val="28"/>
          <w:highlight w:val="none"/>
          <w:lang w:val="en-US" w:eastAsia="zh-CN" w:bidi="ar-SA"/>
        </w:rPr>
        <w:t>（4）甲方应按合同规定向乙方支付服务费用。</w:t>
      </w:r>
    </w:p>
    <w:p w14:paraId="4DE8ECAE">
      <w:pPr>
        <w:pStyle w:val="19"/>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left="0" w:leftChars="0"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2"/>
          <w:sz w:val="28"/>
          <w:szCs w:val="28"/>
          <w:highlight w:val="none"/>
          <w:lang w:val="en-US" w:eastAsia="zh-CN" w:bidi="ar-SA"/>
        </w:rPr>
        <w:t>2、</w:t>
      </w:r>
      <w:r>
        <w:rPr>
          <w:rFonts w:hint="eastAsia" w:ascii="仿宋" w:hAnsi="仿宋" w:eastAsia="仿宋" w:cs="仿宋"/>
          <w:color w:val="auto"/>
          <w:sz w:val="28"/>
          <w:szCs w:val="28"/>
          <w:highlight w:val="none"/>
        </w:rPr>
        <w:t>乙方权利和义务</w:t>
      </w:r>
    </w:p>
    <w:p w14:paraId="3CDBA645">
      <w:pPr>
        <w:pStyle w:val="19"/>
        <w:keepNext w:val="0"/>
        <w:keepLines w:val="0"/>
        <w:pageBreakBefore w:val="0"/>
        <w:widowControl w:val="0"/>
        <w:numPr>
          <w:ilvl w:val="0"/>
          <w:numId w:val="0"/>
        </w:numPr>
        <w:tabs>
          <w:tab w:val="left" w:pos="108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（1）乙方应按招标文件的要求和投标文件的承诺进行服务以及本合同的约定，需对合同内容进行变更的，应取得甲方同意并经协商一致后签署补充协议确定。</w:t>
      </w:r>
    </w:p>
    <w:p w14:paraId="317BC810">
      <w:pPr>
        <w:pStyle w:val="19"/>
        <w:keepNext w:val="0"/>
        <w:keepLines w:val="0"/>
        <w:pageBreakBefore w:val="0"/>
        <w:widowControl w:val="0"/>
        <w:numPr>
          <w:ilvl w:val="0"/>
          <w:numId w:val="0"/>
        </w:numPr>
        <w:tabs>
          <w:tab w:val="left" w:pos="108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2）乙方有权要求甲方按约定支付服务费用。如甲方不按时支付乙方有权要求甲方支付逾期违约金。但服务费的支付应以符合东莞市财政局的相关规定为前提，如服务费涉及财政审批的，则因职能部门审批无法按约定时间付款的，不视为甲方违约。</w:t>
      </w:r>
    </w:p>
    <w:p w14:paraId="764A4036">
      <w:pPr>
        <w:pStyle w:val="19"/>
        <w:keepNext w:val="0"/>
        <w:keepLines w:val="0"/>
        <w:pageBreakBefore w:val="0"/>
        <w:widowControl w:val="0"/>
        <w:numPr>
          <w:ilvl w:val="0"/>
          <w:numId w:val="0"/>
        </w:numPr>
        <w:tabs>
          <w:tab w:val="left" w:pos="108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2"/>
          <w:sz w:val="28"/>
          <w:szCs w:val="28"/>
          <w:highlight w:val="none"/>
          <w:lang w:val="en-US" w:eastAsia="zh-CN" w:bidi="ar-SA"/>
        </w:rPr>
        <w:t>（3）乙方应为乙方服务人员购买工伤保险或商业意外险，乙方人员在提供服务过程中发生工伤意外事故的，由乙方负责工伤认定、理赔等善后事宜，与甲方无关，甲方因此承担赔偿责任的，赔偿后有权向乙方追偿。</w:t>
      </w:r>
    </w:p>
    <w:p w14:paraId="60064EEF">
      <w:pPr>
        <w:pStyle w:val="19"/>
        <w:keepNext w:val="0"/>
        <w:pageBreakBefore w:val="0"/>
        <w:widowControl w:val="0"/>
        <w:numPr>
          <w:ilvl w:val="0"/>
          <w:numId w:val="0"/>
        </w:numPr>
        <w:kinsoku/>
        <w:wordWrap/>
        <w:overflowPunct/>
        <w:topLinePunct w:val="0"/>
        <w:bidi w:val="0"/>
        <w:snapToGrid w:val="0"/>
        <w:spacing w:line="360" w:lineRule="auto"/>
        <w:ind w:left="420" w:leftChars="0" w:hanging="420" w:firstLineChars="0"/>
        <w:textAlignment w:val="auto"/>
        <w:rPr>
          <w:rFonts w:hint="eastAsia" w:ascii="仿宋" w:hAnsi="仿宋" w:eastAsia="仿宋" w:cs="仿宋"/>
          <w:b/>
          <w:color w:val="auto"/>
          <w:spacing w:val="20"/>
          <w:kern w:val="2"/>
          <w:sz w:val="28"/>
          <w:szCs w:val="28"/>
          <w:highlight w:val="none"/>
          <w:lang w:val="en-US" w:eastAsia="zh-CN" w:bidi="ar-SA"/>
        </w:rPr>
      </w:pPr>
      <w:r>
        <w:rPr>
          <w:rFonts w:hint="eastAsia" w:ascii="仿宋" w:hAnsi="仿宋" w:eastAsia="仿宋" w:cs="仿宋"/>
          <w:b/>
          <w:color w:val="auto"/>
          <w:spacing w:val="20"/>
          <w:kern w:val="2"/>
          <w:sz w:val="28"/>
          <w:szCs w:val="28"/>
          <w:highlight w:val="none"/>
          <w:lang w:val="en-US" w:eastAsia="zh-CN" w:bidi="ar-SA"/>
        </w:rPr>
        <w:t>四、履约担保</w:t>
      </w:r>
    </w:p>
    <w:p w14:paraId="4B643489">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1、履约保证金金额为：大写：人民币</w:t>
      </w:r>
      <w:r>
        <w:rPr>
          <w:rFonts w:hint="eastAsia" w:ascii="仿宋" w:hAnsi="仿宋" w:eastAsia="仿宋" w:cs="仿宋"/>
          <w:b w:val="0"/>
          <w:color w:val="auto"/>
          <w:kern w:val="2"/>
          <w:sz w:val="28"/>
          <w:szCs w:val="28"/>
          <w:highlight w:val="none"/>
          <w:u w:val="single"/>
          <w:lang w:val="en-US" w:eastAsia="zh-CN" w:bidi="ar-SA"/>
        </w:rPr>
        <w:t>伍拾万</w:t>
      </w:r>
      <w:r>
        <w:rPr>
          <w:rFonts w:hint="eastAsia" w:ascii="仿宋" w:hAnsi="仿宋" w:eastAsia="仿宋" w:cs="仿宋"/>
          <w:b w:val="0"/>
          <w:color w:val="auto"/>
          <w:kern w:val="2"/>
          <w:sz w:val="28"/>
          <w:szCs w:val="28"/>
          <w:highlight w:val="none"/>
          <w:lang w:val="en-US" w:eastAsia="zh-CN" w:bidi="ar-SA"/>
        </w:rPr>
        <w:t>元整（</w:t>
      </w:r>
      <w:r>
        <w:rPr>
          <w:rFonts w:hint="eastAsia" w:ascii="仿宋" w:hAnsi="仿宋" w:eastAsia="仿宋" w:cs="仿宋"/>
          <w:color w:val="auto"/>
          <w:sz w:val="28"/>
          <w:szCs w:val="28"/>
          <w:highlight w:val="none"/>
        </w:rPr>
        <w:t>小写：￥</w:t>
      </w:r>
      <w:r>
        <w:rPr>
          <w:rFonts w:hint="eastAsia" w:ascii="仿宋" w:hAnsi="仿宋" w:eastAsia="仿宋" w:cs="仿宋"/>
          <w:b w:val="0"/>
          <w:color w:val="auto"/>
          <w:kern w:val="2"/>
          <w:sz w:val="28"/>
          <w:szCs w:val="28"/>
          <w:highlight w:val="none"/>
          <w:u w:val="single"/>
          <w:lang w:val="en-US" w:eastAsia="zh-CN" w:bidi="ar-SA"/>
        </w:rPr>
        <w:t>500,000.00</w:t>
      </w:r>
      <w:r>
        <w:rPr>
          <w:rFonts w:hint="eastAsia" w:ascii="仿宋" w:hAnsi="仿宋" w:eastAsia="仿宋" w:cs="仿宋"/>
          <w:color w:val="auto"/>
          <w:sz w:val="28"/>
          <w:szCs w:val="28"/>
          <w:highlight w:val="none"/>
        </w:rPr>
        <w:t>元</w:t>
      </w:r>
      <w:r>
        <w:rPr>
          <w:rFonts w:hint="eastAsia" w:ascii="仿宋" w:hAnsi="仿宋" w:eastAsia="仿宋" w:cs="仿宋"/>
          <w:b w:val="0"/>
          <w:color w:val="auto"/>
          <w:kern w:val="2"/>
          <w:sz w:val="28"/>
          <w:szCs w:val="28"/>
          <w:highlight w:val="none"/>
          <w:lang w:val="en-US" w:eastAsia="zh-CN" w:bidi="ar-SA"/>
        </w:rPr>
        <w:t>）</w:t>
      </w:r>
    </w:p>
    <w:p w14:paraId="68CDEEE2">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2、履约保证金支付方式：□现金；□转账；□电汇；□汇票；□履约担保函。其中转账/电汇方式支付至甲方如下账户：</w:t>
      </w:r>
    </w:p>
    <w:p w14:paraId="39C4DC91">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default"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户  名：</w:t>
      </w:r>
      <w:r>
        <w:rPr>
          <w:rFonts w:hint="eastAsia" w:ascii="仿宋" w:hAnsi="仿宋" w:eastAsia="仿宋" w:cs="仿宋"/>
          <w:b w:val="0"/>
          <w:color w:val="auto"/>
          <w:kern w:val="2"/>
          <w:sz w:val="28"/>
          <w:szCs w:val="28"/>
          <w:highlight w:val="none"/>
          <w:u w:val="single"/>
          <w:lang w:val="en-US" w:eastAsia="zh-CN" w:bidi="ar-SA"/>
        </w:rPr>
        <w:t xml:space="preserve">               ；</w:t>
      </w:r>
    </w:p>
    <w:p w14:paraId="324C29D6">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开户行：</w:t>
      </w:r>
      <w:r>
        <w:rPr>
          <w:rFonts w:hint="eastAsia" w:ascii="仿宋" w:hAnsi="仿宋" w:eastAsia="仿宋" w:cs="仿宋"/>
          <w:b w:val="0"/>
          <w:color w:val="auto"/>
          <w:kern w:val="2"/>
          <w:sz w:val="28"/>
          <w:szCs w:val="28"/>
          <w:highlight w:val="none"/>
          <w:u w:val="single"/>
          <w:lang w:val="en-US" w:eastAsia="zh-CN" w:bidi="ar-SA"/>
        </w:rPr>
        <w:t xml:space="preserve">               ；</w:t>
      </w:r>
    </w:p>
    <w:p w14:paraId="31B7B5B3">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u w:val="single"/>
          <w:lang w:val="en-US" w:eastAsia="zh-CN" w:bidi="ar-SA"/>
        </w:rPr>
      </w:pPr>
      <w:r>
        <w:rPr>
          <w:rFonts w:hint="eastAsia" w:ascii="仿宋" w:hAnsi="仿宋" w:eastAsia="仿宋" w:cs="仿宋"/>
          <w:b w:val="0"/>
          <w:color w:val="auto"/>
          <w:kern w:val="2"/>
          <w:sz w:val="28"/>
          <w:szCs w:val="28"/>
          <w:highlight w:val="none"/>
          <w:lang w:val="en-US" w:eastAsia="zh-CN" w:bidi="ar-SA"/>
        </w:rPr>
        <w:t>账  号：</w:t>
      </w:r>
      <w:r>
        <w:rPr>
          <w:rFonts w:hint="eastAsia" w:ascii="仿宋" w:hAnsi="仿宋" w:eastAsia="仿宋" w:cs="仿宋"/>
          <w:b w:val="0"/>
          <w:color w:val="auto"/>
          <w:kern w:val="2"/>
          <w:sz w:val="28"/>
          <w:szCs w:val="28"/>
          <w:highlight w:val="none"/>
          <w:u w:val="single"/>
          <w:lang w:val="en-US" w:eastAsia="zh-CN" w:bidi="ar-SA"/>
        </w:rPr>
        <w:t xml:space="preserve">               。</w:t>
      </w:r>
    </w:p>
    <w:p w14:paraId="557247CE">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default" w:ascii="仿宋" w:hAnsi="仿宋" w:eastAsia="仿宋" w:cs="仿宋"/>
          <w:b w:val="0"/>
          <w:color w:val="auto"/>
          <w:kern w:val="2"/>
          <w:sz w:val="28"/>
          <w:szCs w:val="28"/>
          <w:highlight w:val="none"/>
          <w:u w:val="none"/>
          <w:lang w:val="en-US" w:eastAsia="zh-CN" w:bidi="ar-SA"/>
        </w:rPr>
      </w:pPr>
      <w:r>
        <w:rPr>
          <w:rFonts w:hint="eastAsia" w:ascii="仿宋" w:hAnsi="仿宋" w:eastAsia="仿宋" w:cs="仿宋"/>
          <w:b w:val="0"/>
          <w:color w:val="auto"/>
          <w:kern w:val="2"/>
          <w:sz w:val="28"/>
          <w:szCs w:val="28"/>
          <w:highlight w:val="none"/>
          <w:u w:val="none"/>
          <w:lang w:val="en-US" w:eastAsia="zh-CN" w:bidi="ar-SA"/>
        </w:rPr>
        <w:t>3</w:t>
      </w:r>
      <w:r>
        <w:rPr>
          <w:rFonts w:hint="default" w:ascii="仿宋" w:hAnsi="仿宋" w:eastAsia="仿宋" w:cs="仿宋"/>
          <w:b w:val="0"/>
          <w:color w:val="auto"/>
          <w:kern w:val="2"/>
          <w:sz w:val="28"/>
          <w:szCs w:val="28"/>
          <w:highlight w:val="none"/>
          <w:u w:val="none"/>
          <w:lang w:val="en-US" w:eastAsia="zh-CN" w:bidi="ar-SA"/>
        </w:rPr>
        <w:t>、</w:t>
      </w:r>
      <w:r>
        <w:rPr>
          <w:rFonts w:hint="eastAsia" w:ascii="仿宋" w:hAnsi="仿宋" w:eastAsia="仿宋" w:cs="仿宋"/>
          <w:b w:val="0"/>
          <w:color w:val="auto"/>
          <w:kern w:val="2"/>
          <w:sz w:val="28"/>
          <w:szCs w:val="28"/>
          <w:highlight w:val="none"/>
          <w:u w:val="none"/>
          <w:lang w:val="en-US" w:eastAsia="zh-CN" w:bidi="ar-SA"/>
        </w:rPr>
        <w:t>乙方</w:t>
      </w:r>
      <w:r>
        <w:rPr>
          <w:rFonts w:hint="default" w:ascii="仿宋" w:hAnsi="仿宋" w:eastAsia="仿宋" w:cs="仿宋"/>
          <w:b w:val="0"/>
          <w:color w:val="auto"/>
          <w:kern w:val="2"/>
          <w:sz w:val="28"/>
          <w:szCs w:val="28"/>
          <w:highlight w:val="none"/>
          <w:u w:val="none"/>
          <w:lang w:val="en-US" w:eastAsia="zh-CN" w:bidi="ar-SA"/>
        </w:rPr>
        <w:t>须在签订合同后10日内，向</w:t>
      </w:r>
      <w:r>
        <w:rPr>
          <w:rFonts w:hint="eastAsia" w:ascii="仿宋" w:hAnsi="仿宋" w:eastAsia="仿宋" w:cs="仿宋"/>
          <w:b w:val="0"/>
          <w:color w:val="auto"/>
          <w:kern w:val="2"/>
          <w:sz w:val="28"/>
          <w:szCs w:val="28"/>
          <w:highlight w:val="none"/>
          <w:u w:val="none"/>
          <w:lang w:val="en-US" w:eastAsia="zh-CN" w:bidi="ar-SA"/>
        </w:rPr>
        <w:t>甲方按上述条款约定</w:t>
      </w:r>
      <w:r>
        <w:rPr>
          <w:rFonts w:hint="default" w:ascii="仿宋" w:hAnsi="仿宋" w:eastAsia="仿宋" w:cs="仿宋"/>
          <w:b w:val="0"/>
          <w:color w:val="auto"/>
          <w:kern w:val="2"/>
          <w:sz w:val="28"/>
          <w:szCs w:val="28"/>
          <w:highlight w:val="none"/>
          <w:u w:val="none"/>
          <w:lang w:val="en-US" w:eastAsia="zh-CN" w:bidi="ar-SA"/>
        </w:rPr>
        <w:t>提交履约保证金或出具相等担保额度的履约担保函</w:t>
      </w:r>
      <w:r>
        <w:rPr>
          <w:rFonts w:hint="eastAsia" w:ascii="仿宋" w:hAnsi="仿宋" w:eastAsia="仿宋" w:cs="仿宋"/>
          <w:b w:val="0"/>
          <w:color w:val="auto"/>
          <w:kern w:val="2"/>
          <w:sz w:val="28"/>
          <w:szCs w:val="28"/>
          <w:highlight w:val="none"/>
          <w:u w:val="none"/>
          <w:lang w:val="en-US" w:eastAsia="zh-CN" w:bidi="ar-SA"/>
        </w:rPr>
        <w:t>，担保期限为三年</w:t>
      </w:r>
      <w:r>
        <w:rPr>
          <w:rFonts w:hint="default" w:ascii="仿宋" w:hAnsi="仿宋" w:eastAsia="仿宋" w:cs="仿宋"/>
          <w:b w:val="0"/>
          <w:color w:val="auto"/>
          <w:kern w:val="2"/>
          <w:sz w:val="28"/>
          <w:szCs w:val="28"/>
          <w:highlight w:val="none"/>
          <w:u w:val="none"/>
          <w:lang w:val="en-US" w:eastAsia="zh-CN" w:bidi="ar-SA"/>
        </w:rPr>
        <w:t>。</w:t>
      </w:r>
    </w:p>
    <w:p w14:paraId="2A5AAE16">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u w:val="none"/>
          <w:lang w:val="en-US" w:eastAsia="zh-CN" w:bidi="ar-SA"/>
        </w:rPr>
      </w:pPr>
      <w:r>
        <w:rPr>
          <w:rFonts w:hint="eastAsia" w:ascii="仿宋" w:hAnsi="仿宋" w:eastAsia="仿宋" w:cs="仿宋"/>
          <w:b w:val="0"/>
          <w:color w:val="auto"/>
          <w:kern w:val="2"/>
          <w:sz w:val="28"/>
          <w:szCs w:val="28"/>
          <w:highlight w:val="none"/>
          <w:u w:val="none"/>
          <w:lang w:val="en-US" w:eastAsia="zh-CN" w:bidi="ar-SA"/>
        </w:rPr>
        <w:t>4、乙方因自身原因不能按照招标文件规定签订合同或者没有按约定履行合同的，甲方有权没收履约保证金并解除合同。</w:t>
      </w:r>
    </w:p>
    <w:p w14:paraId="37C56ADB">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u w:val="none"/>
          <w:lang w:val="en-US" w:eastAsia="zh-CN" w:bidi="ar-SA"/>
        </w:rPr>
      </w:pPr>
      <w:r>
        <w:rPr>
          <w:rFonts w:hint="eastAsia" w:ascii="仿宋" w:hAnsi="仿宋" w:eastAsia="仿宋" w:cs="仿宋"/>
          <w:b w:val="0"/>
          <w:color w:val="auto"/>
          <w:kern w:val="2"/>
          <w:sz w:val="28"/>
          <w:szCs w:val="28"/>
          <w:highlight w:val="none"/>
          <w:u w:val="none"/>
          <w:lang w:val="en-US" w:eastAsia="zh-CN" w:bidi="ar-SA"/>
        </w:rPr>
        <w:t>5、乙方委派人员应严格按照规定认真履行职责，乙方委派的工作人员违反本合同约定，造成的损失由乙方负责，损失金额超过人民币5万元或者造成不良社会影响的，甲方有权没收履约保证金或按履约保函担保额度索赔保证金并视情况解除合同。</w:t>
      </w:r>
    </w:p>
    <w:p w14:paraId="72FC40E0">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default" w:ascii="仿宋" w:hAnsi="仿宋" w:eastAsia="仿宋" w:cs="仿宋"/>
          <w:b w:val="0"/>
          <w:color w:val="auto"/>
          <w:kern w:val="2"/>
          <w:sz w:val="28"/>
          <w:szCs w:val="28"/>
          <w:highlight w:val="none"/>
          <w:u w:val="none"/>
          <w:lang w:val="en-US" w:eastAsia="zh-CN" w:bidi="ar-SA"/>
        </w:rPr>
      </w:pPr>
      <w:r>
        <w:rPr>
          <w:rFonts w:hint="eastAsia" w:ascii="仿宋" w:hAnsi="仿宋" w:eastAsia="仿宋" w:cs="仿宋"/>
          <w:b w:val="0"/>
          <w:color w:val="auto"/>
          <w:kern w:val="2"/>
          <w:sz w:val="28"/>
          <w:szCs w:val="28"/>
          <w:highlight w:val="none"/>
          <w:u w:val="none"/>
          <w:lang w:val="en-US" w:eastAsia="zh-CN" w:bidi="ar-SA"/>
        </w:rPr>
        <w:t>6、乙方的履约保证金在乙方按承诺完全履行合同的约定，服务期满并顺利交接后的30个工作日内，由甲方以转账（支票）形式退还给乙方或终止履约担保函期限。</w:t>
      </w:r>
    </w:p>
    <w:p w14:paraId="206F22BB">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default" w:ascii="仿宋" w:hAnsi="仿宋" w:eastAsia="仿宋" w:cs="仿宋"/>
          <w:b w:val="0"/>
          <w:color w:val="auto"/>
          <w:kern w:val="2"/>
          <w:sz w:val="28"/>
          <w:szCs w:val="28"/>
          <w:highlight w:val="none"/>
          <w:u w:val="none"/>
          <w:lang w:val="en-US" w:eastAsia="zh-CN" w:bidi="ar-SA"/>
        </w:rPr>
      </w:pPr>
      <w:r>
        <w:rPr>
          <w:rFonts w:hint="default" w:ascii="仿宋" w:hAnsi="仿宋" w:eastAsia="仿宋" w:cs="仿宋"/>
          <w:b w:val="0"/>
          <w:color w:val="auto"/>
          <w:kern w:val="2"/>
          <w:sz w:val="28"/>
          <w:szCs w:val="28"/>
          <w:highlight w:val="none"/>
          <w:u w:val="none"/>
          <w:lang w:val="en-US" w:eastAsia="zh-CN" w:bidi="ar-SA"/>
        </w:rPr>
        <w:t>7、乙方同意，当存在上述可处没收保证金的违约行为，甲方有权不论实际损失金额依约定行使权利没收保证金，乙方不得以损失低于保证金为由提出异议。</w:t>
      </w:r>
    </w:p>
    <w:p w14:paraId="03997B70">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default" w:ascii="仿宋" w:hAnsi="仿宋" w:eastAsia="仿宋" w:cs="仿宋"/>
          <w:b w:val="0"/>
          <w:color w:val="auto"/>
          <w:kern w:val="2"/>
          <w:sz w:val="28"/>
          <w:szCs w:val="28"/>
          <w:highlight w:val="none"/>
          <w:u w:val="none"/>
          <w:lang w:val="en-US" w:eastAsia="zh-CN" w:bidi="ar-SA"/>
        </w:rPr>
      </w:pPr>
      <w:r>
        <w:rPr>
          <w:rFonts w:hint="default" w:ascii="仿宋" w:hAnsi="仿宋" w:eastAsia="仿宋" w:cs="仿宋"/>
          <w:b w:val="0"/>
          <w:color w:val="auto"/>
          <w:kern w:val="2"/>
          <w:sz w:val="28"/>
          <w:szCs w:val="28"/>
          <w:highlight w:val="none"/>
          <w:u w:val="none"/>
          <w:lang w:val="en-US" w:eastAsia="zh-CN" w:bidi="ar-SA"/>
        </w:rPr>
        <w:t>8、当甲方依据约定没收、扣除、提取保证金，导致保证金减少/清零，但未行使合同解除权，合同继续履行的，乙方应将保证金/履约包含补足至约定数额，经催告乙方未在甲方通知的合理期限内补缴的，甲方有权立即解除合同。</w:t>
      </w:r>
    </w:p>
    <w:p w14:paraId="198E3F65">
      <w:pPr>
        <w:pStyle w:val="19"/>
        <w:keepNext w:val="0"/>
        <w:pageBreakBefore w:val="0"/>
        <w:widowControl w:val="0"/>
        <w:numPr>
          <w:ilvl w:val="0"/>
          <w:numId w:val="0"/>
        </w:numPr>
        <w:kinsoku/>
        <w:wordWrap/>
        <w:overflowPunct/>
        <w:topLinePunct w:val="0"/>
        <w:bidi w:val="0"/>
        <w:snapToGrid w:val="0"/>
        <w:spacing w:line="360" w:lineRule="auto"/>
        <w:ind w:left="420" w:leftChars="0" w:hanging="420" w:firstLineChars="0"/>
        <w:textAlignment w:val="auto"/>
        <w:rPr>
          <w:rFonts w:hint="eastAsia" w:ascii="仿宋" w:hAnsi="仿宋" w:eastAsia="仿宋" w:cs="仿宋"/>
          <w:b/>
          <w:color w:val="auto"/>
          <w:spacing w:val="20"/>
          <w:sz w:val="28"/>
          <w:szCs w:val="28"/>
          <w:highlight w:val="none"/>
        </w:rPr>
      </w:pPr>
      <w:r>
        <w:rPr>
          <w:rFonts w:hint="eastAsia" w:ascii="仿宋" w:hAnsi="仿宋" w:eastAsia="仿宋" w:cs="仿宋"/>
          <w:b/>
          <w:color w:val="auto"/>
          <w:spacing w:val="20"/>
          <w:kern w:val="2"/>
          <w:sz w:val="28"/>
          <w:szCs w:val="28"/>
          <w:highlight w:val="none"/>
          <w:lang w:val="en-US" w:eastAsia="zh-CN" w:bidi="ar-SA"/>
        </w:rPr>
        <w:t>五、</w:t>
      </w:r>
      <w:r>
        <w:rPr>
          <w:rFonts w:hint="eastAsia" w:ascii="仿宋" w:hAnsi="仿宋" w:eastAsia="仿宋" w:cs="仿宋"/>
          <w:b/>
          <w:color w:val="auto"/>
          <w:spacing w:val="20"/>
          <w:sz w:val="28"/>
          <w:szCs w:val="28"/>
          <w:highlight w:val="none"/>
        </w:rPr>
        <w:t>价格</w:t>
      </w:r>
    </w:p>
    <w:p w14:paraId="0122CF33">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b w:val="0"/>
          <w:color w:val="auto"/>
          <w:kern w:val="2"/>
          <w:sz w:val="28"/>
          <w:szCs w:val="28"/>
          <w:highlight w:val="none"/>
          <w:lang w:val="en-US" w:eastAsia="zh-CN" w:bidi="ar-SA"/>
        </w:rPr>
        <w:t>1、</w:t>
      </w:r>
      <w:r>
        <w:rPr>
          <w:rFonts w:hint="eastAsia" w:ascii="仿宋" w:hAnsi="仿宋" w:eastAsia="仿宋" w:cs="仿宋"/>
          <w:color w:val="auto"/>
          <w:sz w:val="28"/>
          <w:szCs w:val="28"/>
          <w:highlight w:val="none"/>
        </w:rPr>
        <w:t>合同预估金额：大写：人民币</w:t>
      </w:r>
      <w:r>
        <w:rPr>
          <w:rFonts w:hint="eastAsia" w:ascii="仿宋" w:hAnsi="仿宋" w:eastAsia="仿宋" w:cs="仿宋"/>
          <w:color w:val="auto"/>
          <w:sz w:val="28"/>
          <w:szCs w:val="28"/>
          <w:highlight w:val="none"/>
          <w:u w:val="single"/>
          <w:lang w:val="en-US" w:eastAsia="zh-CN"/>
        </w:rPr>
        <w:t>壹仟万</w:t>
      </w:r>
      <w:r>
        <w:rPr>
          <w:rFonts w:hint="eastAsia" w:ascii="仿宋" w:hAnsi="仿宋" w:eastAsia="仿宋" w:cs="仿宋"/>
          <w:color w:val="auto"/>
          <w:sz w:val="28"/>
          <w:szCs w:val="28"/>
          <w:highlight w:val="none"/>
        </w:rPr>
        <w:t>元整（小写：￥</w:t>
      </w:r>
      <w:r>
        <w:rPr>
          <w:rFonts w:hint="eastAsia" w:ascii="仿宋" w:hAnsi="仿宋" w:eastAsia="仿宋" w:cs="仿宋"/>
          <w:color w:val="auto"/>
          <w:sz w:val="28"/>
          <w:szCs w:val="28"/>
          <w:highlight w:val="none"/>
          <w:u w:val="single"/>
          <w:lang w:val="en-US" w:eastAsia="zh-CN"/>
        </w:rPr>
        <w:t>10</w:t>
      </w:r>
      <w:r>
        <w:rPr>
          <w:rFonts w:hint="eastAsia" w:ascii="仿宋" w:hAnsi="仿宋" w:eastAsia="仿宋" w:cs="仿宋"/>
          <w:color w:val="auto"/>
          <w:sz w:val="28"/>
          <w:szCs w:val="28"/>
          <w:highlight w:val="none"/>
          <w:u w:val="single"/>
        </w:rPr>
        <w:t>,</w:t>
      </w:r>
      <w:r>
        <w:rPr>
          <w:rFonts w:hint="eastAsia" w:ascii="仿宋" w:hAnsi="仿宋" w:eastAsia="仿宋" w:cs="仿宋"/>
          <w:color w:val="auto"/>
          <w:sz w:val="28"/>
          <w:szCs w:val="28"/>
          <w:highlight w:val="none"/>
          <w:u w:val="single"/>
          <w:lang w:val="en-US" w:eastAsia="zh-CN"/>
        </w:rPr>
        <w:t>00</w:t>
      </w:r>
      <w:r>
        <w:rPr>
          <w:rFonts w:hint="eastAsia" w:ascii="仿宋" w:hAnsi="仿宋" w:eastAsia="仿宋" w:cs="仿宋"/>
          <w:color w:val="auto"/>
          <w:sz w:val="28"/>
          <w:szCs w:val="28"/>
          <w:highlight w:val="none"/>
          <w:u w:val="single"/>
        </w:rPr>
        <w:t>0,000.00</w:t>
      </w:r>
      <w:r>
        <w:rPr>
          <w:rFonts w:hint="eastAsia" w:ascii="仿宋" w:hAnsi="仿宋" w:eastAsia="仿宋" w:cs="仿宋"/>
          <w:color w:val="auto"/>
          <w:sz w:val="28"/>
          <w:szCs w:val="28"/>
          <w:highlight w:val="none"/>
        </w:rPr>
        <w:t>元）</w:t>
      </w:r>
    </w:p>
    <w:p w14:paraId="483DBCB6">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2、折扣：大写：百分之</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none"/>
          <w:lang w:eastAsia="zh-CN"/>
        </w:rPr>
        <w:t>（</w:t>
      </w:r>
      <w:r>
        <w:rPr>
          <w:rFonts w:hint="eastAsia" w:ascii="仿宋" w:hAnsi="仿宋" w:eastAsia="仿宋" w:cs="仿宋"/>
          <w:color w:val="auto"/>
          <w:sz w:val="28"/>
          <w:szCs w:val="28"/>
          <w:highlight w:val="none"/>
          <w:u w:val="none"/>
          <w:lang w:val="en-US" w:eastAsia="zh-CN"/>
        </w:rPr>
        <w:t>小写：</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none"/>
          <w:lang w:val="en-US" w:eastAsia="zh-CN"/>
        </w:rPr>
        <w:t>%</w:t>
      </w:r>
      <w:r>
        <w:rPr>
          <w:rFonts w:hint="eastAsia" w:ascii="仿宋" w:hAnsi="仿宋" w:eastAsia="仿宋" w:cs="仿宋"/>
          <w:color w:val="auto"/>
          <w:sz w:val="28"/>
          <w:szCs w:val="28"/>
          <w:highlight w:val="none"/>
          <w:u w:val="none"/>
          <w:lang w:eastAsia="zh-CN"/>
        </w:rPr>
        <w:t>）</w:t>
      </w:r>
    </w:p>
    <w:p w14:paraId="53C034F2">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3、基准价确定：（1）东莞市发展和改革局价格管理专栏（http://dgdp.dg.gov.cn/jggl/index.html）中《东莞市菜篮子价格监测表》有价格的货物，取《东莞市菜篮子价格监测表》公布的农贸市场平均零售价格为参考基准价（以最近日期发布的价格为准）；（2）由甲、乙双方共同按常平木伦市场、常平第一市场、常平金美市场三个市场作为参考，以其同类产品价格的平均价作为参考基准价（即基准价=3个市场抽样价格之和÷3，计算结果四舍五入保留两位小数）。（3）实际结算基准价，取上述两个参考基准价中较低的为结算基准价；《东莞市菜篮子价格监测表》无甲方所需货品的，则按上文（2）条款约定的方式确定结算基准价。</w:t>
      </w:r>
    </w:p>
    <w:p w14:paraId="6FA3F4EB">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4、结算价格确定：结算价格=结算基准价×折扣。</w:t>
      </w:r>
    </w:p>
    <w:p w14:paraId="659AC9E9">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5、本合同结算基准价每月调整2次，乙方须按上述基准价格确定的原则分别在每月25日前将下一月度上半月、每月10日前将本月下半月的食材基准价及报价以书面的形式递交至甲方处审核，经双方确认后实施。除合同另有约定外，双方可以协商重新定价，否则一经定价，双方不得以任何理由加价或减价。</w:t>
      </w:r>
    </w:p>
    <w:p w14:paraId="388D29B8">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6、本合同价款包含完成本合同约定所有服务内容的费用，包括但不限于购货或自产养种植成本、包装配送运输、保险、装卸服务、粗加工、退换、雇员费用、质保期售后服务、全额含税发票、合同实施过程中的应预见和不可预见费用等。乙方必须充分考虑履约期间的一切可能产生的风险和相关费用，甲方将拒绝支付合同约定货款之外的任何费用和补偿。</w:t>
      </w:r>
    </w:p>
    <w:p w14:paraId="0263E6A8">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default"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7、本合同金额为预估金额，甲方无法预计也无法保证具体委托的业务数量及金额。甲方不就本合同实际交易量、收入作出任何承诺，双方根据实际采购量结算，乙方盈亏自负。甲方根据《广东省财政厅关于落实2025年政府采购脱贫地区农副产品工作的通知》（粤财采购〔2025〕2号）要求，原则上需要预留总预算一定金额向脱贫认定单位供货商采购，乙方必须无条件配合。乙方不得以上述条款为由拒绝履行合同约定的义务，否则甲方有权解除合同并追究乙方违约责任。</w:t>
      </w:r>
    </w:p>
    <w:p w14:paraId="7536687A">
      <w:pPr>
        <w:pStyle w:val="19"/>
        <w:keepNext w:val="0"/>
        <w:pageBreakBefore w:val="0"/>
        <w:widowControl w:val="0"/>
        <w:numPr>
          <w:ilvl w:val="0"/>
          <w:numId w:val="0"/>
        </w:numPr>
        <w:kinsoku/>
        <w:wordWrap/>
        <w:overflowPunct/>
        <w:topLinePunct w:val="0"/>
        <w:bidi w:val="0"/>
        <w:snapToGrid w:val="0"/>
        <w:spacing w:line="360" w:lineRule="auto"/>
        <w:ind w:left="420" w:leftChars="0" w:hanging="420" w:firstLineChars="0"/>
        <w:textAlignment w:val="auto"/>
        <w:rPr>
          <w:rFonts w:hint="eastAsia" w:ascii="仿宋" w:hAnsi="仿宋" w:eastAsia="仿宋" w:cs="仿宋"/>
          <w:b/>
          <w:color w:val="auto"/>
          <w:spacing w:val="20"/>
          <w:kern w:val="2"/>
          <w:sz w:val="28"/>
          <w:szCs w:val="28"/>
          <w:highlight w:val="none"/>
          <w:lang w:val="en-US" w:eastAsia="zh-CN" w:bidi="ar-SA"/>
        </w:rPr>
      </w:pPr>
      <w:r>
        <w:rPr>
          <w:rFonts w:hint="eastAsia" w:ascii="仿宋" w:hAnsi="仿宋" w:eastAsia="仿宋" w:cs="仿宋"/>
          <w:b/>
          <w:color w:val="auto"/>
          <w:spacing w:val="20"/>
          <w:kern w:val="2"/>
          <w:sz w:val="28"/>
          <w:szCs w:val="28"/>
          <w:highlight w:val="none"/>
          <w:lang w:val="en-US" w:eastAsia="zh-CN" w:bidi="ar-SA"/>
        </w:rPr>
        <w:t>六、验收要求</w:t>
      </w:r>
    </w:p>
    <w:p w14:paraId="7F224ABE">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default" w:ascii="仿宋" w:hAnsi="仿宋" w:eastAsia="仿宋" w:cs="仿宋"/>
          <w:b w:val="0"/>
          <w:color w:val="auto"/>
          <w:kern w:val="2"/>
          <w:sz w:val="28"/>
          <w:szCs w:val="28"/>
          <w:highlight w:val="none"/>
          <w:lang w:val="en-US" w:eastAsia="zh-CN" w:bidi="ar-SA"/>
        </w:rPr>
      </w:pPr>
      <w:r>
        <w:rPr>
          <w:rFonts w:hint="default" w:ascii="仿宋" w:hAnsi="仿宋" w:eastAsia="仿宋" w:cs="仿宋"/>
          <w:b w:val="0"/>
          <w:color w:val="auto"/>
          <w:kern w:val="2"/>
          <w:sz w:val="28"/>
          <w:szCs w:val="28"/>
          <w:highlight w:val="none"/>
          <w:lang w:val="en-US" w:eastAsia="zh-CN" w:bidi="ar-SA"/>
        </w:rPr>
        <w:t>1、</w:t>
      </w:r>
      <w:r>
        <w:rPr>
          <w:rFonts w:hint="eastAsia" w:ascii="仿宋" w:hAnsi="仿宋" w:eastAsia="仿宋" w:cs="仿宋"/>
          <w:b w:val="0"/>
          <w:color w:val="auto"/>
          <w:kern w:val="2"/>
          <w:sz w:val="28"/>
          <w:szCs w:val="28"/>
          <w:highlight w:val="none"/>
          <w:lang w:val="en-US" w:eastAsia="zh-CN" w:bidi="ar-SA"/>
        </w:rPr>
        <w:t>乙方</w:t>
      </w:r>
      <w:r>
        <w:rPr>
          <w:rFonts w:hint="default" w:ascii="仿宋" w:hAnsi="仿宋" w:eastAsia="仿宋" w:cs="仿宋"/>
          <w:b w:val="0"/>
          <w:color w:val="auto"/>
          <w:kern w:val="2"/>
          <w:sz w:val="28"/>
          <w:szCs w:val="28"/>
          <w:highlight w:val="none"/>
          <w:lang w:val="en-US" w:eastAsia="zh-CN" w:bidi="ar-SA"/>
        </w:rPr>
        <w:t>按照</w:t>
      </w:r>
      <w:r>
        <w:rPr>
          <w:rFonts w:hint="eastAsia" w:ascii="仿宋" w:hAnsi="仿宋" w:eastAsia="仿宋" w:cs="仿宋"/>
          <w:b w:val="0"/>
          <w:color w:val="auto"/>
          <w:kern w:val="2"/>
          <w:sz w:val="28"/>
          <w:szCs w:val="28"/>
          <w:highlight w:val="none"/>
          <w:lang w:val="en-US" w:eastAsia="zh-CN" w:bidi="ar-SA"/>
        </w:rPr>
        <w:t>甲方</w:t>
      </w:r>
      <w:r>
        <w:rPr>
          <w:rFonts w:hint="default" w:ascii="仿宋" w:hAnsi="仿宋" w:eastAsia="仿宋" w:cs="仿宋"/>
          <w:b w:val="0"/>
          <w:color w:val="auto"/>
          <w:kern w:val="2"/>
          <w:sz w:val="28"/>
          <w:szCs w:val="28"/>
          <w:highlight w:val="none"/>
          <w:lang w:val="en-US" w:eastAsia="zh-CN" w:bidi="ar-SA"/>
        </w:rPr>
        <w:t>要求将货物送至指定地点后，双方人员应及时对货物进行验收。食材的每日验收由</w:t>
      </w:r>
      <w:r>
        <w:rPr>
          <w:rFonts w:hint="eastAsia" w:ascii="仿宋" w:hAnsi="仿宋" w:eastAsia="仿宋" w:cs="仿宋"/>
          <w:b w:val="0"/>
          <w:color w:val="auto"/>
          <w:kern w:val="2"/>
          <w:sz w:val="28"/>
          <w:szCs w:val="28"/>
          <w:highlight w:val="none"/>
          <w:lang w:val="en-US" w:eastAsia="zh-CN" w:bidi="ar-SA"/>
        </w:rPr>
        <w:t>甲、乙双方</w:t>
      </w:r>
      <w:r>
        <w:rPr>
          <w:rFonts w:hint="default" w:ascii="仿宋" w:hAnsi="仿宋" w:eastAsia="仿宋" w:cs="仿宋"/>
          <w:b w:val="0"/>
          <w:color w:val="auto"/>
          <w:kern w:val="2"/>
          <w:sz w:val="28"/>
          <w:szCs w:val="28"/>
          <w:highlight w:val="none"/>
          <w:lang w:val="en-US" w:eastAsia="zh-CN" w:bidi="ar-SA"/>
        </w:rPr>
        <w:t>组成的验收小组进行共同验收，验收人员对当天所配送的食材进行规格、质量、数量、价格等方面的验收。验收标准严格按照国家、地方的相关规定、招标文件及投标文件相关内容执行。</w:t>
      </w:r>
    </w:p>
    <w:p w14:paraId="4F016083">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default" w:ascii="仿宋" w:hAnsi="仿宋" w:eastAsia="仿宋" w:cs="仿宋"/>
          <w:b w:val="0"/>
          <w:color w:val="auto"/>
          <w:kern w:val="2"/>
          <w:sz w:val="28"/>
          <w:szCs w:val="28"/>
          <w:highlight w:val="none"/>
          <w:lang w:val="en-US" w:eastAsia="zh-CN" w:bidi="ar-SA"/>
        </w:rPr>
      </w:pPr>
      <w:r>
        <w:rPr>
          <w:rFonts w:hint="default" w:ascii="仿宋" w:hAnsi="仿宋" w:eastAsia="仿宋" w:cs="仿宋"/>
          <w:b w:val="0"/>
          <w:color w:val="auto"/>
          <w:kern w:val="2"/>
          <w:sz w:val="28"/>
          <w:szCs w:val="28"/>
          <w:highlight w:val="none"/>
          <w:lang w:val="en-US" w:eastAsia="zh-CN" w:bidi="ar-SA"/>
        </w:rPr>
        <w:t>2、交货验收程序如下：（1）双方人员核对送货清单。（2）数量检查：数量短缺的，</w:t>
      </w:r>
      <w:r>
        <w:rPr>
          <w:rFonts w:hint="eastAsia" w:ascii="仿宋" w:hAnsi="仿宋" w:eastAsia="仿宋" w:cs="仿宋"/>
          <w:b w:val="0"/>
          <w:color w:val="auto"/>
          <w:kern w:val="2"/>
          <w:sz w:val="28"/>
          <w:szCs w:val="28"/>
          <w:highlight w:val="none"/>
          <w:lang w:val="en-US" w:eastAsia="zh-CN" w:bidi="ar-SA"/>
        </w:rPr>
        <w:t>乙方</w:t>
      </w:r>
      <w:r>
        <w:rPr>
          <w:rFonts w:hint="default" w:ascii="仿宋" w:hAnsi="仿宋" w:eastAsia="仿宋" w:cs="仿宋"/>
          <w:b w:val="0"/>
          <w:color w:val="auto"/>
          <w:kern w:val="2"/>
          <w:sz w:val="28"/>
          <w:szCs w:val="28"/>
          <w:highlight w:val="none"/>
          <w:lang w:val="en-US" w:eastAsia="zh-CN" w:bidi="ar-SA"/>
        </w:rPr>
        <w:t>必须按照</w:t>
      </w:r>
      <w:r>
        <w:rPr>
          <w:rFonts w:hint="eastAsia" w:ascii="仿宋" w:hAnsi="仿宋" w:eastAsia="仿宋" w:cs="仿宋"/>
          <w:b w:val="0"/>
          <w:color w:val="auto"/>
          <w:kern w:val="2"/>
          <w:sz w:val="28"/>
          <w:szCs w:val="28"/>
          <w:highlight w:val="none"/>
          <w:lang w:val="en-US" w:eastAsia="zh-CN" w:bidi="ar-SA"/>
        </w:rPr>
        <w:t>甲方</w:t>
      </w:r>
      <w:r>
        <w:rPr>
          <w:rFonts w:hint="default" w:ascii="仿宋" w:hAnsi="仿宋" w:eastAsia="仿宋" w:cs="仿宋"/>
          <w:b w:val="0"/>
          <w:color w:val="auto"/>
          <w:kern w:val="2"/>
          <w:sz w:val="28"/>
          <w:szCs w:val="28"/>
          <w:highlight w:val="none"/>
          <w:lang w:val="en-US" w:eastAsia="zh-CN" w:bidi="ar-SA"/>
        </w:rPr>
        <w:t>要求补齐货物并承担延迟交货责任；送货数量超出订货数量的，超出部分</w:t>
      </w:r>
      <w:r>
        <w:rPr>
          <w:rFonts w:hint="eastAsia" w:ascii="仿宋" w:hAnsi="仿宋" w:eastAsia="仿宋" w:cs="仿宋"/>
          <w:b w:val="0"/>
          <w:color w:val="auto"/>
          <w:kern w:val="2"/>
          <w:sz w:val="28"/>
          <w:szCs w:val="28"/>
          <w:highlight w:val="none"/>
          <w:lang w:val="en-US" w:eastAsia="zh-CN" w:bidi="ar-SA"/>
        </w:rPr>
        <w:t>甲方</w:t>
      </w:r>
      <w:r>
        <w:rPr>
          <w:rFonts w:hint="default" w:ascii="仿宋" w:hAnsi="仿宋" w:eastAsia="仿宋" w:cs="仿宋"/>
          <w:b w:val="0"/>
          <w:color w:val="auto"/>
          <w:kern w:val="2"/>
          <w:sz w:val="28"/>
          <w:szCs w:val="28"/>
          <w:highlight w:val="none"/>
          <w:lang w:val="en-US" w:eastAsia="zh-CN" w:bidi="ar-SA"/>
        </w:rPr>
        <w:t>有权拒收，</w:t>
      </w:r>
      <w:r>
        <w:rPr>
          <w:rFonts w:hint="eastAsia" w:ascii="仿宋" w:hAnsi="仿宋" w:eastAsia="仿宋" w:cs="仿宋"/>
          <w:b w:val="0"/>
          <w:color w:val="auto"/>
          <w:kern w:val="2"/>
          <w:sz w:val="28"/>
          <w:szCs w:val="28"/>
          <w:highlight w:val="none"/>
          <w:lang w:val="en-US" w:eastAsia="zh-CN" w:bidi="ar-SA"/>
        </w:rPr>
        <w:t>乙方</w:t>
      </w:r>
      <w:r>
        <w:rPr>
          <w:rFonts w:hint="default" w:ascii="仿宋" w:hAnsi="仿宋" w:eastAsia="仿宋" w:cs="仿宋"/>
          <w:b w:val="0"/>
          <w:color w:val="auto"/>
          <w:kern w:val="2"/>
          <w:sz w:val="28"/>
          <w:szCs w:val="28"/>
          <w:highlight w:val="none"/>
          <w:lang w:val="en-US" w:eastAsia="zh-CN" w:bidi="ar-SA"/>
        </w:rPr>
        <w:t>自行将多余货物清运出</w:t>
      </w:r>
      <w:r>
        <w:rPr>
          <w:rFonts w:hint="eastAsia" w:ascii="仿宋" w:hAnsi="仿宋" w:eastAsia="仿宋" w:cs="仿宋"/>
          <w:b w:val="0"/>
          <w:color w:val="auto"/>
          <w:kern w:val="2"/>
          <w:sz w:val="28"/>
          <w:szCs w:val="28"/>
          <w:highlight w:val="none"/>
          <w:lang w:val="en-US" w:eastAsia="zh-CN" w:bidi="ar-SA"/>
        </w:rPr>
        <w:t>甲方</w:t>
      </w:r>
      <w:r>
        <w:rPr>
          <w:rFonts w:hint="default" w:ascii="仿宋" w:hAnsi="仿宋" w:eastAsia="仿宋" w:cs="仿宋"/>
          <w:b w:val="0"/>
          <w:color w:val="auto"/>
          <w:kern w:val="2"/>
          <w:sz w:val="28"/>
          <w:szCs w:val="28"/>
          <w:highlight w:val="none"/>
          <w:lang w:val="en-US" w:eastAsia="zh-CN" w:bidi="ar-SA"/>
        </w:rPr>
        <w:t>场所。（3）验收合格后，双方在验收登记表上签字确认，验收登记表作为结算对账依据。（4）出现退（补）货情况，应及时报告</w:t>
      </w:r>
      <w:r>
        <w:rPr>
          <w:rFonts w:hint="eastAsia" w:ascii="仿宋" w:hAnsi="仿宋" w:eastAsia="仿宋" w:cs="仿宋"/>
          <w:b w:val="0"/>
          <w:color w:val="auto"/>
          <w:kern w:val="2"/>
          <w:sz w:val="28"/>
          <w:szCs w:val="28"/>
          <w:highlight w:val="none"/>
          <w:lang w:val="en-US" w:eastAsia="zh-CN" w:bidi="ar-SA"/>
        </w:rPr>
        <w:t>甲方</w:t>
      </w:r>
      <w:r>
        <w:rPr>
          <w:rFonts w:hint="default" w:ascii="仿宋" w:hAnsi="仿宋" w:eastAsia="仿宋" w:cs="仿宋"/>
          <w:b w:val="0"/>
          <w:color w:val="auto"/>
          <w:kern w:val="2"/>
          <w:sz w:val="28"/>
          <w:szCs w:val="28"/>
          <w:highlight w:val="none"/>
          <w:lang w:val="en-US" w:eastAsia="zh-CN" w:bidi="ar-SA"/>
        </w:rPr>
        <w:t>相关负责人。在退货过程中，对有碍公共卫生安全的食材，</w:t>
      </w:r>
      <w:r>
        <w:rPr>
          <w:rFonts w:hint="eastAsia" w:ascii="仿宋" w:hAnsi="仿宋" w:eastAsia="仿宋" w:cs="仿宋"/>
          <w:b w:val="0"/>
          <w:color w:val="auto"/>
          <w:kern w:val="2"/>
          <w:sz w:val="28"/>
          <w:szCs w:val="28"/>
          <w:highlight w:val="none"/>
          <w:lang w:val="en-US" w:eastAsia="zh-CN" w:bidi="ar-SA"/>
        </w:rPr>
        <w:t>乙方</w:t>
      </w:r>
      <w:r>
        <w:rPr>
          <w:rFonts w:hint="default" w:ascii="仿宋" w:hAnsi="仿宋" w:eastAsia="仿宋" w:cs="仿宋"/>
          <w:b w:val="0"/>
          <w:color w:val="auto"/>
          <w:kern w:val="2"/>
          <w:sz w:val="28"/>
          <w:szCs w:val="28"/>
          <w:highlight w:val="none"/>
          <w:lang w:val="en-US" w:eastAsia="zh-CN" w:bidi="ar-SA"/>
        </w:rPr>
        <w:t>须按国家有关规定处理或进行协议销毁，不得回收后进行二次利用或销售。</w:t>
      </w:r>
    </w:p>
    <w:p w14:paraId="51814679">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default" w:ascii="仿宋" w:hAnsi="仿宋" w:eastAsia="仿宋" w:cs="仿宋"/>
          <w:b w:val="0"/>
          <w:color w:val="auto"/>
          <w:kern w:val="2"/>
          <w:sz w:val="28"/>
          <w:szCs w:val="28"/>
          <w:highlight w:val="none"/>
          <w:lang w:val="en-US" w:eastAsia="zh-CN" w:bidi="ar-SA"/>
        </w:rPr>
      </w:pPr>
      <w:r>
        <w:rPr>
          <w:rFonts w:hint="default" w:ascii="仿宋" w:hAnsi="仿宋" w:eastAsia="仿宋" w:cs="仿宋"/>
          <w:b w:val="0"/>
          <w:color w:val="auto"/>
          <w:kern w:val="2"/>
          <w:sz w:val="28"/>
          <w:szCs w:val="28"/>
          <w:highlight w:val="none"/>
          <w:lang w:val="en-US" w:eastAsia="zh-CN" w:bidi="ar-SA"/>
        </w:rPr>
        <w:t>3、双方对验收结果或货物质量持有异议的，</w:t>
      </w:r>
      <w:r>
        <w:rPr>
          <w:rFonts w:hint="eastAsia" w:ascii="仿宋" w:hAnsi="仿宋" w:eastAsia="仿宋" w:cs="仿宋"/>
          <w:b w:val="0"/>
          <w:color w:val="auto"/>
          <w:kern w:val="2"/>
          <w:sz w:val="28"/>
          <w:szCs w:val="28"/>
          <w:highlight w:val="none"/>
          <w:lang w:val="en-US" w:eastAsia="zh-CN" w:bidi="ar-SA"/>
        </w:rPr>
        <w:t>乙方</w:t>
      </w:r>
      <w:r>
        <w:rPr>
          <w:rFonts w:hint="default" w:ascii="仿宋" w:hAnsi="仿宋" w:eastAsia="仿宋" w:cs="仿宋"/>
          <w:b w:val="0"/>
          <w:color w:val="auto"/>
          <w:kern w:val="2"/>
          <w:sz w:val="28"/>
          <w:szCs w:val="28"/>
          <w:highlight w:val="none"/>
          <w:lang w:val="en-US" w:eastAsia="zh-CN" w:bidi="ar-SA"/>
        </w:rPr>
        <w:t>须先应</w:t>
      </w:r>
      <w:r>
        <w:rPr>
          <w:rFonts w:hint="eastAsia" w:ascii="仿宋" w:hAnsi="仿宋" w:eastAsia="仿宋" w:cs="仿宋"/>
          <w:b w:val="0"/>
          <w:color w:val="auto"/>
          <w:kern w:val="2"/>
          <w:sz w:val="28"/>
          <w:szCs w:val="28"/>
          <w:highlight w:val="none"/>
          <w:lang w:val="en-US" w:eastAsia="zh-CN" w:bidi="ar-SA"/>
        </w:rPr>
        <w:t>甲方</w:t>
      </w:r>
      <w:r>
        <w:rPr>
          <w:rFonts w:hint="default" w:ascii="仿宋" w:hAnsi="仿宋" w:eastAsia="仿宋" w:cs="仿宋"/>
          <w:b w:val="0"/>
          <w:color w:val="auto"/>
          <w:kern w:val="2"/>
          <w:sz w:val="28"/>
          <w:szCs w:val="28"/>
          <w:highlight w:val="none"/>
          <w:lang w:val="en-US" w:eastAsia="zh-CN" w:bidi="ar-SA"/>
        </w:rPr>
        <w:t>要求对货物进行更换或退货，然后由双方对存有异议的货物进行抽样封存，并在3日内交由</w:t>
      </w:r>
      <w:r>
        <w:rPr>
          <w:rFonts w:hint="eastAsia" w:ascii="仿宋" w:hAnsi="仿宋" w:eastAsia="仿宋" w:cs="仿宋"/>
          <w:b w:val="0"/>
          <w:color w:val="auto"/>
          <w:kern w:val="2"/>
          <w:sz w:val="28"/>
          <w:szCs w:val="28"/>
          <w:highlight w:val="none"/>
          <w:lang w:val="en-US" w:eastAsia="zh-CN" w:bidi="ar-SA"/>
        </w:rPr>
        <w:t>甲方</w:t>
      </w:r>
      <w:r>
        <w:rPr>
          <w:rFonts w:hint="default" w:ascii="仿宋" w:hAnsi="仿宋" w:eastAsia="仿宋" w:cs="仿宋"/>
          <w:b w:val="0"/>
          <w:color w:val="auto"/>
          <w:kern w:val="2"/>
          <w:sz w:val="28"/>
          <w:szCs w:val="28"/>
          <w:highlight w:val="none"/>
          <w:lang w:val="en-US" w:eastAsia="zh-CN" w:bidi="ar-SA"/>
        </w:rPr>
        <w:t>所在地的第三方检测机构进行检验，由此产生的检验费由</w:t>
      </w:r>
      <w:r>
        <w:rPr>
          <w:rFonts w:hint="eastAsia" w:ascii="仿宋" w:hAnsi="仿宋" w:eastAsia="仿宋" w:cs="仿宋"/>
          <w:b w:val="0"/>
          <w:color w:val="auto"/>
          <w:kern w:val="2"/>
          <w:sz w:val="28"/>
          <w:szCs w:val="28"/>
          <w:highlight w:val="none"/>
          <w:lang w:val="en-US" w:eastAsia="zh-CN" w:bidi="ar-SA"/>
        </w:rPr>
        <w:t>乙方</w:t>
      </w:r>
      <w:r>
        <w:rPr>
          <w:rFonts w:hint="default" w:ascii="仿宋" w:hAnsi="仿宋" w:eastAsia="仿宋" w:cs="仿宋"/>
          <w:b w:val="0"/>
          <w:color w:val="auto"/>
          <w:kern w:val="2"/>
          <w:sz w:val="28"/>
          <w:szCs w:val="28"/>
          <w:highlight w:val="none"/>
          <w:lang w:val="en-US" w:eastAsia="zh-CN" w:bidi="ar-SA"/>
        </w:rPr>
        <w:t>承担。</w:t>
      </w:r>
    </w:p>
    <w:p w14:paraId="1A31363C">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default" w:ascii="仿宋" w:hAnsi="仿宋" w:eastAsia="仿宋" w:cs="仿宋"/>
          <w:b w:val="0"/>
          <w:color w:val="auto"/>
          <w:kern w:val="2"/>
          <w:sz w:val="28"/>
          <w:szCs w:val="28"/>
          <w:highlight w:val="none"/>
          <w:lang w:val="en-US" w:eastAsia="zh-CN" w:bidi="ar-SA"/>
        </w:rPr>
      </w:pPr>
      <w:r>
        <w:rPr>
          <w:rFonts w:hint="default" w:ascii="仿宋" w:hAnsi="仿宋" w:eastAsia="仿宋" w:cs="仿宋"/>
          <w:b w:val="0"/>
          <w:color w:val="auto"/>
          <w:kern w:val="2"/>
          <w:sz w:val="28"/>
          <w:szCs w:val="28"/>
          <w:highlight w:val="none"/>
          <w:lang w:val="en-US" w:eastAsia="zh-CN" w:bidi="ar-SA"/>
        </w:rPr>
        <w:t>4、除每日验收外，</w:t>
      </w:r>
      <w:r>
        <w:rPr>
          <w:rFonts w:hint="eastAsia" w:ascii="仿宋" w:hAnsi="仿宋" w:eastAsia="仿宋" w:cs="仿宋"/>
          <w:b w:val="0"/>
          <w:color w:val="auto"/>
          <w:kern w:val="2"/>
          <w:sz w:val="28"/>
          <w:szCs w:val="28"/>
          <w:highlight w:val="none"/>
          <w:lang w:val="en-US" w:eastAsia="zh-CN" w:bidi="ar-SA"/>
        </w:rPr>
        <w:t>甲方</w:t>
      </w:r>
      <w:r>
        <w:rPr>
          <w:rFonts w:hint="default" w:ascii="仿宋" w:hAnsi="仿宋" w:eastAsia="仿宋" w:cs="仿宋"/>
          <w:b w:val="0"/>
          <w:color w:val="auto"/>
          <w:kern w:val="2"/>
          <w:sz w:val="28"/>
          <w:szCs w:val="28"/>
          <w:highlight w:val="none"/>
          <w:lang w:val="en-US" w:eastAsia="zh-CN" w:bidi="ar-SA"/>
        </w:rPr>
        <w:t>每月10日前安排相关人员对</w:t>
      </w:r>
      <w:r>
        <w:rPr>
          <w:rFonts w:hint="eastAsia" w:ascii="仿宋" w:hAnsi="仿宋" w:eastAsia="仿宋" w:cs="仿宋"/>
          <w:b w:val="0"/>
          <w:color w:val="auto"/>
          <w:kern w:val="2"/>
          <w:sz w:val="28"/>
          <w:szCs w:val="28"/>
          <w:highlight w:val="none"/>
          <w:lang w:val="en-US" w:eastAsia="zh-CN" w:bidi="ar-SA"/>
        </w:rPr>
        <w:t>乙方</w:t>
      </w:r>
      <w:r>
        <w:rPr>
          <w:rFonts w:hint="default" w:ascii="仿宋" w:hAnsi="仿宋" w:eastAsia="仿宋" w:cs="仿宋"/>
          <w:b w:val="0"/>
          <w:color w:val="auto"/>
          <w:kern w:val="2"/>
          <w:sz w:val="28"/>
          <w:szCs w:val="28"/>
          <w:highlight w:val="none"/>
          <w:lang w:val="en-US" w:eastAsia="zh-CN" w:bidi="ar-SA"/>
        </w:rPr>
        <w:t>进行食材及服务质量考核跟踪，考核内容详见《食材配送考核表》。</w:t>
      </w:r>
    </w:p>
    <w:p w14:paraId="37000271">
      <w:pPr>
        <w:pStyle w:val="19"/>
        <w:keepNext w:val="0"/>
        <w:pageBreakBefore w:val="0"/>
        <w:widowControl w:val="0"/>
        <w:numPr>
          <w:ilvl w:val="0"/>
          <w:numId w:val="0"/>
        </w:numPr>
        <w:kinsoku/>
        <w:wordWrap/>
        <w:overflowPunct/>
        <w:topLinePunct w:val="0"/>
        <w:bidi w:val="0"/>
        <w:snapToGrid w:val="0"/>
        <w:spacing w:line="360" w:lineRule="auto"/>
        <w:ind w:left="420" w:leftChars="0" w:hanging="420" w:firstLineChars="0"/>
        <w:textAlignment w:val="auto"/>
        <w:rPr>
          <w:rFonts w:hint="eastAsia" w:ascii="仿宋" w:hAnsi="仿宋" w:eastAsia="仿宋" w:cs="仿宋"/>
          <w:b/>
          <w:color w:val="auto"/>
          <w:spacing w:val="20"/>
          <w:kern w:val="2"/>
          <w:sz w:val="28"/>
          <w:szCs w:val="28"/>
          <w:highlight w:val="none"/>
          <w:lang w:val="en-US" w:eastAsia="zh-CN" w:bidi="ar-SA"/>
        </w:rPr>
      </w:pPr>
      <w:r>
        <w:rPr>
          <w:rFonts w:hint="eastAsia" w:ascii="仿宋" w:hAnsi="仿宋" w:eastAsia="仿宋" w:cs="仿宋"/>
          <w:b/>
          <w:color w:val="auto"/>
          <w:spacing w:val="20"/>
          <w:kern w:val="2"/>
          <w:sz w:val="28"/>
          <w:szCs w:val="28"/>
          <w:highlight w:val="none"/>
          <w:lang w:val="en-US" w:eastAsia="zh-CN" w:bidi="ar-SA"/>
        </w:rPr>
        <w:t>七、验收标准</w:t>
      </w:r>
    </w:p>
    <w:p w14:paraId="1A6378D8">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乙方应充分理解并认真遵循本合同的要求，所提供的货物必须满足本合同要求。保证供应的货品均为正规生产的新鲜、检验合格、无毒、无辐射、无侵权货品，符合国家有关卫生、质量、包装和保质标准，有使用有效期的货品，其剩余有效期不得少于标注有效期的80%。乙方保证所提供的</w:t>
      </w:r>
      <w:r>
        <w:rPr>
          <w:rFonts w:hint="eastAsia" w:ascii="仿宋" w:hAnsi="仿宋" w:eastAsia="仿宋" w:cs="仿宋"/>
          <w:color w:val="auto"/>
          <w:sz w:val="28"/>
          <w:szCs w:val="28"/>
          <w:highlight w:val="none"/>
          <w:lang w:val="en-US" w:eastAsia="zh-CN"/>
        </w:rPr>
        <w:t>蔬菜类</w:t>
      </w:r>
      <w:r>
        <w:rPr>
          <w:rFonts w:hint="eastAsia" w:ascii="仿宋" w:hAnsi="仿宋" w:eastAsia="仿宋" w:cs="仿宋"/>
          <w:color w:val="auto"/>
          <w:sz w:val="28"/>
          <w:szCs w:val="28"/>
          <w:highlight w:val="none"/>
        </w:rPr>
        <w:t>和</w:t>
      </w:r>
      <w:r>
        <w:rPr>
          <w:rFonts w:hint="eastAsia" w:ascii="仿宋" w:hAnsi="仿宋" w:eastAsia="仿宋" w:cs="仿宋"/>
          <w:color w:val="auto"/>
          <w:sz w:val="28"/>
          <w:szCs w:val="28"/>
          <w:highlight w:val="none"/>
          <w:lang w:val="en-US" w:eastAsia="zh-CN"/>
        </w:rPr>
        <w:t>水产</w:t>
      </w:r>
      <w:r>
        <w:rPr>
          <w:rFonts w:hint="eastAsia" w:ascii="仿宋" w:hAnsi="仿宋" w:eastAsia="仿宋" w:cs="仿宋"/>
          <w:color w:val="auto"/>
          <w:sz w:val="28"/>
          <w:szCs w:val="28"/>
          <w:highlight w:val="none"/>
        </w:rPr>
        <w:t>类</w:t>
      </w:r>
      <w:r>
        <w:rPr>
          <w:rFonts w:hint="eastAsia" w:ascii="仿宋" w:hAnsi="仿宋" w:eastAsia="仿宋" w:cs="仿宋"/>
          <w:b w:val="0"/>
          <w:color w:val="auto"/>
          <w:kern w:val="2"/>
          <w:sz w:val="28"/>
          <w:szCs w:val="28"/>
          <w:highlight w:val="none"/>
          <w:lang w:val="en-US" w:eastAsia="zh-CN" w:bidi="ar-SA"/>
        </w:rPr>
        <w:t>的多样性和季节性，以保证新鲜感。货物有包装的，货物的包装必须完整清洁（无损、无污、无皱），甲方有权拒收包装不整齐、已拆封的货品。货品质量或包装不符合甲方要求的，乙方必须无条件退货或更换。配送货品中涉及肉品、水产类的，必须用专用冷藏、冷冻载具运输，保证运输过程冷链不中断，到达目的地时外包装箱干爽，无软化现象；其中须冷藏运输的货品，保证运输过程环境保持在恒温5℃；须冷冻运输的货品，保证运输过程环境保持在恒温-18℃。</w:t>
      </w:r>
    </w:p>
    <w:p w14:paraId="7E559AC4">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1、鲜肉类、水产类供应货品质量要求</w:t>
      </w:r>
    </w:p>
    <w:p w14:paraId="44DF6D86">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（1）猪肉类</w:t>
      </w:r>
    </w:p>
    <w:p w14:paraId="41B7C771">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1）具有当天卫生监督部门发放的“动物检疫合格证明”，肉体印有检疫章。</w:t>
      </w:r>
    </w:p>
    <w:p w14:paraId="3226E161">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2）表皮干爽、肌体结实、肉质紧密、肉色淡红新鲜，肥肉洁白而细腻。</w:t>
      </w:r>
    </w:p>
    <w:p w14:paraId="37EE4F70">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3）外观检测无异味、无寄生虫、无粘液、无渗出液体、指压反弹迅速、具有猪肉自然气味。</w:t>
      </w:r>
    </w:p>
    <w:p w14:paraId="19A0C5E8">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4）运输设备具备恒温保鲜（5℃），存放容器保持清洁卫生，包装合理且材料无污染。</w:t>
      </w:r>
    </w:p>
    <w:p w14:paraId="5B056CAF">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（2）牛肉类</w:t>
      </w:r>
    </w:p>
    <w:p w14:paraId="050117CF">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1）具有当天卫生监督部门发放的“动物检疫合格证明”，外观检测新鲜肉质柔软有光泽、无腐臭变质异味、无寄生虫、无粘液、无渗出液体。</w:t>
      </w:r>
    </w:p>
    <w:p w14:paraId="04470A3F">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2）牛肉色泽棕红，脂肪呈淡黄色或深黄色，肉质紧密，弹性足。</w:t>
      </w:r>
    </w:p>
    <w:p w14:paraId="4B5075B1">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3）运输设备具备恒温保鲜（5℃），存放容器保持清洁卫生，包装合理且材料无污染。</w:t>
      </w:r>
    </w:p>
    <w:p w14:paraId="4DBCFC91">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（3）羊肉类</w:t>
      </w:r>
    </w:p>
    <w:p w14:paraId="7F70AB3F">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1）具有当天卫生监督部门发放的“动物检疫合格证明”。</w:t>
      </w:r>
    </w:p>
    <w:p w14:paraId="5AFFB34E">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2）羊肉色泽暗红，纤维细而软，肌间少脂肪。</w:t>
      </w:r>
    </w:p>
    <w:p w14:paraId="595394B5">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3）运输设备具备恒温保鲜（5℃），存放容器保持清洁卫生，包装合理且材料无污染。</w:t>
      </w:r>
    </w:p>
    <w:p w14:paraId="1461C37D">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（4）水产品类</w:t>
      </w:r>
    </w:p>
    <w:p w14:paraId="64F16559">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1）必须鲜活。</w:t>
      </w:r>
    </w:p>
    <w:p w14:paraId="30CDF7E5">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2）鲜鱼鳞片完整，有光泽无脱落，鳃口紧闭，眼球光亮透明，鱼鳃鲜红，鳍尾完整，没有泥腥味，确保新鲜。</w:t>
      </w:r>
    </w:p>
    <w:p w14:paraId="406CCB68">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3）身体饱满结实，无腐烂异味，肉质紧密有弹性，无离骨脱刺现象。</w:t>
      </w:r>
    </w:p>
    <w:p w14:paraId="35D183AD">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4）来源可靠放心，无毒、无害、无污染。</w:t>
      </w:r>
    </w:p>
    <w:p w14:paraId="25DE1936">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（5）三鸟类</w:t>
      </w:r>
    </w:p>
    <w:p w14:paraId="571AE1C3">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1）活禽类：</w:t>
      </w:r>
    </w:p>
    <w:p w14:paraId="5B40464E">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①具有当天卫生监督部门发放的“动物检疫合格证明”。</w:t>
      </w:r>
    </w:p>
    <w:p w14:paraId="4397BE9F">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②必须鲜活，羽毛完整、有光泽无不正常脱落。</w:t>
      </w:r>
    </w:p>
    <w:p w14:paraId="6D6A5874">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③身体饱满结实，来源可靠放心，无毒、无害、无污染。</w:t>
      </w:r>
    </w:p>
    <w:p w14:paraId="3FC7C16E">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2）屠杀好的：</w:t>
      </w:r>
    </w:p>
    <w:p w14:paraId="71AC3AE7">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①具有当天卫生监督部门发放的“动物检疫合格证明”。</w:t>
      </w:r>
    </w:p>
    <w:p w14:paraId="26E5C8EF">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②肉质新鲜柔软有光泽，质地紧密，脂肪呈白色或淡黄色，肉质细腻、无腐烂异味，肉体结实，内脏清掏干净，肉质弹性足无明显渗出液体，总体无粘液。</w:t>
      </w:r>
    </w:p>
    <w:p w14:paraId="77908B81">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③运输设备具备恒温保鲜（5℃），存放容器保持清洁卫生，包装合理，来源可靠放心，无毒、无害、无污染。</w:t>
      </w:r>
    </w:p>
    <w:p w14:paraId="43549C97">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2、蔬菜类</w:t>
      </w:r>
    </w:p>
    <w:p w14:paraId="2FA063FB">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1）乙方提供的蔬菜必须保证每日新鲜，品种、质量应符合甲方要求，产品符合食品卫生安全法要求并出具有效的《农产品检验报告》。应保持较好的色泽和新鲜度，不得有黄叶，不得腐烂或有异常味道，不存在泥沙和异物，利用率不得低于95%。</w:t>
      </w:r>
    </w:p>
    <w:p w14:paraId="39F3ABE4">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（2）提供的水果符合国家食品质量管理条例，果面干净新鲜，果柄鲜绿，果型完整且形好，个体均匀，结实，有光泽，表面光滑，无疤痕，不干皱，不变色，无压伤，无阴伤，无病虫害。</w:t>
      </w:r>
    </w:p>
    <w:p w14:paraId="682D6877">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（3）乙方不得供应转基因产品。</w:t>
      </w:r>
    </w:p>
    <w:p w14:paraId="2620A069">
      <w:pPr>
        <w:pStyle w:val="19"/>
        <w:keepNext w:val="0"/>
        <w:pageBreakBefore w:val="0"/>
        <w:widowControl w:val="0"/>
        <w:numPr>
          <w:ilvl w:val="0"/>
          <w:numId w:val="0"/>
        </w:numPr>
        <w:kinsoku/>
        <w:wordWrap/>
        <w:overflowPunct/>
        <w:topLinePunct w:val="0"/>
        <w:bidi w:val="0"/>
        <w:snapToGrid w:val="0"/>
        <w:spacing w:line="360" w:lineRule="auto"/>
        <w:ind w:left="420" w:leftChars="0" w:hanging="420" w:firstLineChars="0"/>
        <w:textAlignment w:val="auto"/>
        <w:rPr>
          <w:rFonts w:hint="eastAsia" w:ascii="仿宋" w:hAnsi="仿宋" w:eastAsia="仿宋" w:cs="仿宋"/>
          <w:b/>
          <w:color w:val="auto"/>
          <w:spacing w:val="20"/>
          <w:kern w:val="2"/>
          <w:sz w:val="28"/>
          <w:szCs w:val="28"/>
          <w:highlight w:val="none"/>
          <w:lang w:val="en-US" w:eastAsia="zh-CN" w:bidi="ar-SA"/>
        </w:rPr>
      </w:pPr>
      <w:r>
        <w:rPr>
          <w:rFonts w:hint="eastAsia" w:ascii="仿宋" w:hAnsi="仿宋" w:eastAsia="仿宋" w:cs="仿宋"/>
          <w:b/>
          <w:color w:val="auto"/>
          <w:spacing w:val="20"/>
          <w:kern w:val="2"/>
          <w:sz w:val="28"/>
          <w:szCs w:val="28"/>
          <w:highlight w:val="none"/>
          <w:lang w:val="en-US" w:eastAsia="zh-CN" w:bidi="ar-SA"/>
        </w:rPr>
        <w:t>八、订货与配送时间要求</w:t>
      </w:r>
    </w:p>
    <w:p w14:paraId="217B87D4">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1、订货说明</w:t>
      </w:r>
    </w:p>
    <w:p w14:paraId="32072248">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甲方在每周最后两个工作日的18:00（星期四与星期五）之前，发出并确认食材订单，订单内容应说明清楚品名、数量、规格、质量和餐次等要求，乙方须按照甲方订货单要求按时保质保量，送货至甲方指定地点；特殊情况下，甲方需乙方在规定时间内将采购货物送到指定地点，乙方应无条件配合，并能确保准时送到。</w:t>
      </w:r>
    </w:p>
    <w:p w14:paraId="23E1694E">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2、配送要求</w:t>
      </w:r>
    </w:p>
    <w:p w14:paraId="40B08725">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蔬菜、鲜肉及水产类正常情况每天均需送货1次，乙方须于每天早上4：50前将甲方要求的食材配送至指定地点并经甲方验收合格。</w:t>
      </w:r>
    </w:p>
    <w:p w14:paraId="15F19584">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食材运抵指定地点后由乙方负责卸车并搬运至甲方指定地点，搬运食材时经过的过道、电梯等公共区域需保持整洁，若留有污渍需及时清理；服务过程中禁止乙方人员在甲方学校区域内吸烟。</w:t>
      </w:r>
    </w:p>
    <w:p w14:paraId="12E669D3">
      <w:pPr>
        <w:pStyle w:val="19"/>
        <w:keepNext w:val="0"/>
        <w:pageBreakBefore w:val="0"/>
        <w:widowControl w:val="0"/>
        <w:numPr>
          <w:ilvl w:val="0"/>
          <w:numId w:val="0"/>
        </w:numPr>
        <w:kinsoku/>
        <w:wordWrap/>
        <w:overflowPunct/>
        <w:topLinePunct w:val="0"/>
        <w:bidi w:val="0"/>
        <w:snapToGrid w:val="0"/>
        <w:spacing w:line="360" w:lineRule="auto"/>
        <w:ind w:left="420" w:leftChars="0" w:hanging="420" w:firstLineChars="0"/>
        <w:textAlignment w:val="auto"/>
        <w:rPr>
          <w:rFonts w:hint="eastAsia" w:ascii="仿宋" w:hAnsi="仿宋" w:eastAsia="仿宋" w:cs="仿宋"/>
          <w:b/>
          <w:color w:val="auto"/>
          <w:spacing w:val="20"/>
          <w:kern w:val="2"/>
          <w:sz w:val="28"/>
          <w:szCs w:val="28"/>
          <w:highlight w:val="none"/>
          <w:lang w:val="en-US" w:eastAsia="zh-CN" w:bidi="ar-SA"/>
        </w:rPr>
      </w:pPr>
      <w:r>
        <w:rPr>
          <w:rFonts w:hint="eastAsia" w:ascii="仿宋" w:hAnsi="仿宋" w:eastAsia="仿宋" w:cs="仿宋"/>
          <w:b/>
          <w:color w:val="auto"/>
          <w:spacing w:val="20"/>
          <w:kern w:val="2"/>
          <w:sz w:val="28"/>
          <w:szCs w:val="28"/>
          <w:highlight w:val="none"/>
          <w:lang w:val="en-US" w:eastAsia="zh-CN" w:bidi="ar-SA"/>
        </w:rPr>
        <w:t>九、服务要求</w:t>
      </w:r>
    </w:p>
    <w:p w14:paraId="2F6A1460">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1、基本要求</w:t>
      </w:r>
    </w:p>
    <w:p w14:paraId="3B64743D">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（1）乙方必须具有完善的相应制度、办法和保障措施；</w:t>
      </w:r>
    </w:p>
    <w:p w14:paraId="3D4833BE">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（2）乙方严格按政府有关卫生管理规定提供符合国家卫生标准的各类食品、食材，具有政府有关部门的合格证明，各类肉菜、食品，确保无变质变味食物。</w:t>
      </w:r>
    </w:p>
    <w:p w14:paraId="45333533">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（3）乙方需服从甲方和食品监督部门的监督管理，配合甲方及时更新所提供的符合卫生监督部门的有效证明材料，包括但不限于营业执照、产品合格证等。</w:t>
      </w:r>
    </w:p>
    <w:p w14:paraId="38342025">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（4）乙方所送的食材及物资引起食用人身体不适、发生食物中毒等问题，经正规食品质量检验部门确定是乙方责任的，由乙方承担全部经济赔偿及法律责任。</w:t>
      </w:r>
    </w:p>
    <w:p w14:paraId="218010EB">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5）乙方必须遵守国家规定的《中华人民共和国食品安全法》《中华人民共和国农产品质量安全法》等法律和行政法规的规定，提供的货品必须符合国家有关卫生标准，保质、保量、保鲜，严禁配送假冒、变质、过期的农副产品，对于验收不合格的货品，乙方必须无条件包退包换。</w:t>
      </w:r>
    </w:p>
    <w:p w14:paraId="6AD03358">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2、服务要求</w:t>
      </w:r>
    </w:p>
    <w:p w14:paraId="3E6BA59C">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1）本合同配送食材包括蔬菜、鲜肉及水产类食材。乙方按照甲方提出的物品订货清单，不论数量多少（例如：500克以下），必须保证在规定的时间、地点送货。乙方对甲方提出的临时性服务要求也应按时、按质、按量将货品送到甲方指定地点；乙方所供应的货品必须安全卫生，承担送货途中的一切风险并提供完善的售后服务。</w:t>
      </w:r>
    </w:p>
    <w:p w14:paraId="07FEC2E1">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（2）乙方对甲方提出的临时性食材配送服务要求应在收到甲方要求后</w:t>
      </w:r>
      <w:r>
        <w:rPr>
          <w:rFonts w:hint="eastAsia" w:ascii="仿宋" w:hAnsi="仿宋" w:eastAsia="仿宋" w:cs="仿宋"/>
          <w:b w:val="0"/>
          <w:color w:val="auto"/>
          <w:kern w:val="2"/>
          <w:sz w:val="28"/>
          <w:szCs w:val="28"/>
          <w:highlight w:val="none"/>
          <w:u w:val="single"/>
          <w:lang w:val="en-US" w:eastAsia="zh-CN" w:bidi="ar-SA"/>
        </w:rPr>
        <w:t xml:space="preserve">  </w:t>
      </w:r>
      <w:r>
        <w:rPr>
          <w:rFonts w:hint="eastAsia" w:ascii="仿宋" w:hAnsi="仿宋" w:eastAsia="仿宋" w:cs="仿宋"/>
          <w:b w:val="0"/>
          <w:color w:val="auto"/>
          <w:kern w:val="2"/>
          <w:sz w:val="28"/>
          <w:szCs w:val="28"/>
          <w:highlight w:val="none"/>
          <w:lang w:val="en-US" w:eastAsia="zh-CN" w:bidi="ar-SA"/>
        </w:rPr>
        <w:t>小时内按质、按量将货品送到甲方指定地点。</w:t>
      </w:r>
    </w:p>
    <w:p w14:paraId="19F13C81">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（3）乙方提供的货品必须符合国家食品卫生法规相关标准，保质、保量，不合格的货品，乙方必须包退包换。</w:t>
      </w:r>
    </w:p>
    <w:p w14:paraId="3441AC20">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（4）乙方提供的货品必须出示真实有效的检验合格报告。</w:t>
      </w:r>
    </w:p>
    <w:p w14:paraId="3663C48B">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（5）乙方每次送货应有相应的送货清单，且必须提供合法的进货单据。</w:t>
      </w:r>
    </w:p>
    <w:p w14:paraId="37038BCC">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（6）乙方提供的货品导致甲方有任何食物安全事件出现，由乙方承担全部责任及赔偿甲方一切损失，甲方保留法律追究权利。</w:t>
      </w:r>
    </w:p>
    <w:p w14:paraId="63671B21">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（7）乙方的供货价应包含货品交给甲方之前的一切费用，包括运输费、储存费等，并承担送货途中的一切风险。</w:t>
      </w:r>
    </w:p>
    <w:p w14:paraId="21E46A14">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（8）乙方进入甲方范围内必须遵守甲方有关规定，不得影响甲方的正常工作，由于乙方的过失造成甲方直接经济损失则要负全部责任及赔偿甲方一切损失。</w:t>
      </w:r>
    </w:p>
    <w:p w14:paraId="6169DB5C">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9）若遇台风、暴雨等意外原因造成的个别品种价格需临时调整，应通知甲方，并征得甲方同意后方可调整，每次送货按通知价格计算，调整后的价格仅对当次送货订单有效，后续其他送货订单仍应按该周期确认的报价执行。甲方认为无需调整的，乙方仍应按该周期确认的报价送货结算。</w:t>
      </w:r>
    </w:p>
    <w:p w14:paraId="7BDD6332">
      <w:pPr>
        <w:pStyle w:val="19"/>
        <w:keepNext w:val="0"/>
        <w:pageBreakBefore w:val="0"/>
        <w:widowControl w:val="0"/>
        <w:numPr>
          <w:ilvl w:val="0"/>
          <w:numId w:val="0"/>
        </w:numPr>
        <w:kinsoku/>
        <w:wordWrap/>
        <w:overflowPunct/>
        <w:topLinePunct w:val="0"/>
        <w:bidi w:val="0"/>
        <w:snapToGrid w:val="0"/>
        <w:spacing w:line="360" w:lineRule="auto"/>
        <w:ind w:left="420" w:leftChars="0" w:hanging="420" w:firstLineChars="0"/>
        <w:textAlignment w:val="auto"/>
        <w:rPr>
          <w:rFonts w:hint="eastAsia" w:ascii="仿宋" w:hAnsi="仿宋" w:eastAsia="仿宋" w:cs="仿宋"/>
          <w:b/>
          <w:color w:val="auto"/>
          <w:spacing w:val="20"/>
          <w:kern w:val="2"/>
          <w:sz w:val="28"/>
          <w:szCs w:val="28"/>
          <w:highlight w:val="none"/>
          <w:lang w:val="en-US" w:eastAsia="zh-CN" w:bidi="ar-SA"/>
        </w:rPr>
      </w:pPr>
      <w:r>
        <w:rPr>
          <w:rFonts w:hint="eastAsia" w:ascii="仿宋" w:hAnsi="仿宋" w:eastAsia="仿宋" w:cs="仿宋"/>
          <w:b/>
          <w:color w:val="auto"/>
          <w:spacing w:val="20"/>
          <w:kern w:val="2"/>
          <w:sz w:val="28"/>
          <w:szCs w:val="28"/>
          <w:highlight w:val="none"/>
          <w:lang w:val="en-US" w:eastAsia="zh-CN" w:bidi="ar-SA"/>
        </w:rPr>
        <w:t>十、供货要求</w:t>
      </w:r>
    </w:p>
    <w:p w14:paraId="16806000">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1、乙方所提供产品质量必须要符合行业标准要求，不得有掺假、变质、变味、过期等现象出现，严禁伪劣、假冒、无证不合格物品进入仓库。</w:t>
      </w:r>
    </w:p>
    <w:p w14:paraId="7CFE926D">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2、乙方在供应过程中，如果发生出现质量问题或造成食物中毒，如变质等情况，经国家相关卫生检验部门查实后确属乙方责任，乙方应依法承担相关责任。</w:t>
      </w:r>
    </w:p>
    <w:p w14:paraId="1F0CA764">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3、必须有检验合格证明，严禁存在有害、有毒、腐烂变质、酸败、霉变、生虫、污垢不洁、混有异物或其他感官性状异常的食品。</w:t>
      </w:r>
    </w:p>
    <w:p w14:paraId="18AAD2EF">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4、运输要求：运输工具应清洁卫生无污染：食品运输必须采用符合卫生标准的外包装和运载工具，并且要保持清洁和定期消毒。运输车厢的内仓，包括地面、墙面和顶，应使用抗腐蚀、防潮，易清洁消毒的材料。车厢内无不良气味、异味；运输途中严防日晒、雨淋，注意通风散热；食品堆放科学合理，避免造成食品的交叉污染；如对温度有要求的食品应确定食品的温度，记录送货车辆温度，并记录存档。</w:t>
      </w:r>
    </w:p>
    <w:p w14:paraId="1B8D0DEE">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5、鲜肉类、水产类必须用专用冷藏、冷冻载具运输，保证运输过程冷链不中断，到达目的地时外包装箱干爽，无软化现象。</w:t>
      </w:r>
    </w:p>
    <w:p w14:paraId="03F3BF70">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6、蔬菜、水果等货品应小心轻卸，严防机械损伤。</w:t>
      </w:r>
    </w:p>
    <w:p w14:paraId="2991C108">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7、乙方必须严格按照投标描述的产品质量供货。并配合甲方完成相关食品安全检查要求。</w:t>
      </w:r>
    </w:p>
    <w:p w14:paraId="7EC52D52">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8、乙方所供食材规格符合甲方提交的每次采购订单中明确的具体需求。</w:t>
      </w:r>
    </w:p>
    <w:p w14:paraId="3CAD6D79">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9、乙方食材必须符合卫生要求，不得出现腐烂、变质、油脂酸败、霉变、生虫、污秽不洁、混有异物或者其他感官性状异常。在验收过程中，如发现食品质量问题，甲方有权拒收，并及时通知乙方，经双方确认后，乙方应立即向甲方重新配送。</w:t>
      </w:r>
    </w:p>
    <w:p w14:paraId="5D42E440">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10、发现食品安全质量问题的处理：对危及人身安全的食品质量问题采取零容忍措施，如产品中发现重金属残留超标、腐败变质等一经发现，当日所送同批次产品全部退货。验收时凡属于规格、质量等问题的货品，乙方必须按照甲方要求包退包换，退补货品需在60分钟内补给，不能影响甲方正常供餐。若在加工食用前发现部分产品质量问题，乙方须将问题产品退货处理。</w:t>
      </w:r>
    </w:p>
    <w:p w14:paraId="23D85865">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11、如乙方所配送食材造成人员食物中毒安全事故，经卫生检疫部门鉴定后证实属乙方责任，乙方承担全部法律责任及民事赔偿，以及依法承担由此产生的费用。</w:t>
      </w:r>
    </w:p>
    <w:p w14:paraId="4BA79EB8">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12、乙方需根据以上货品质量安全问题提供的完善的售后服务承诺，包括但不限于专线售后服务管理方案，专人服务，专人跟踪、服务时间安排、其它服务承诺等。</w:t>
      </w:r>
    </w:p>
    <w:p w14:paraId="10585ACC">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13、乙方必须按照甲方要求的时间、数量品种、品质要求及协定的价格准时送货，经验收合格后签字确认，不能以任何理由推托，一旦影响到甲方饭堂的正常运转，乙方应承担相应的经济赔偿。</w:t>
      </w:r>
    </w:p>
    <w:p w14:paraId="0B74F287">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14、乙方必须在双方约定的时间内将货物送到甲方指定的地点，运输费用由乙方承担，如出现不合格、损坏的情况，由乙方负责及时调换。除发生客观不可抗力的情况外，乙方不得推迟送货。如确需延迟送货的，乙方应在得知情况的同时告知甲方并征得甲方书面同意，由于乙方延迟造成甲方利益受损的，甲方有权要求乙方赔偿。</w:t>
      </w:r>
    </w:p>
    <w:p w14:paraId="51EE2F73">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15、乙方负责货品配送前的仓储，甲方不提供仓库。在甲方签收之前，货物的所有权和风险属于乙方，货物发生遗失、损坏由乙方负责。</w:t>
      </w:r>
    </w:p>
    <w:p w14:paraId="54833858">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16、乙方需要严格按照甲方的订单配送货品，不得随意增减数量或改变品种。如因市场流通问题确实需要变更供货内容的，乙方应在得知情况的同时征得甲方同意后方可变更，否则，甲方有权拒收，由此产生的一切损失和费用由乙方承担。</w:t>
      </w:r>
    </w:p>
    <w:p w14:paraId="5FB72656">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17、乙方不能按核定的供货价交付的某些货品、不能提供与其承诺相符的服务或乙方存在违反合同的行为，并且在甲方要求的期限内不予纠正的，将取消其配送资格并终止合同，乙方不得有异议，在甲方确定新食材供货商前，协助提供一家合资质的食材供货商作临时补给，并确保食材按甲方要求及时供应到位。此项下违约行为包括但不限于下列各项：</w:t>
      </w:r>
    </w:p>
    <w:p w14:paraId="3075BCA0">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（1）乙方在收到甲方订货要求后，在承诺的供货时间内不能供货的。</w:t>
      </w:r>
    </w:p>
    <w:p w14:paraId="49877142">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（2）乙方未能提供承诺的服务的。</w:t>
      </w:r>
    </w:p>
    <w:p w14:paraId="5E3F3ABF">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（3）每月超过三次因数量或质量问题导致退换货品的。</w:t>
      </w:r>
    </w:p>
    <w:p w14:paraId="2DAB7743">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（4）乙方不能在约定时间内提供合法票据进行结算的。</w:t>
      </w:r>
    </w:p>
    <w:p w14:paraId="3FF56AD8">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（5）乙方送货专员在甲方单位活动但不遵守甲方单位各项规章制度或做出有损甲方形象和利益的事情的。</w:t>
      </w:r>
    </w:p>
    <w:p w14:paraId="2C36DEF6">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（6）乙方泄露甲方的信息的，泄密行为造成甲方损失的，乙方将承担由此产生的一切损失和法律责任。</w:t>
      </w:r>
    </w:p>
    <w:p w14:paraId="62A5DBD4">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7）因配送原材料问题，发生师生食物中毒等食材安全责任事故；或在原材料配送过程中，经核实存在故意掺杂作假，销售劣质、有害过期或无证食品等违规行为的；或虽然基于过失发生上述情况，但经甲方规劝，或经教育主管部门、市场监督管理部门要求整改仍再次发生的的。</w:t>
      </w:r>
    </w:p>
    <w:p w14:paraId="65C6677B">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（8）在经营过程中，存在转包、分包和挂靠经营行为的。</w:t>
      </w:r>
    </w:p>
    <w:p w14:paraId="0FACAFE0">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（9）乙方经营情况发生变化已不符合准入条件而无法在甲方给予的限期内（法律法规对该情形的期限另有强制性规定的，从其规定）重新符合准入条件。</w:t>
      </w:r>
    </w:p>
    <w:p w14:paraId="406B4146">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（10）若乙方无法按甲方要求供货时，甲方有权向市场其他机构开展采购，甲方不负违约责任；乙方无权对甲方的行为提出争议。甲方基于上述情况向其他主体开展采购的，不影响甲方解除权行使。</w:t>
      </w:r>
    </w:p>
    <w:p w14:paraId="6BD2B784">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（11）乙方必须按要求完成食材配送，若有违反造成甲方停膳的，每停膳一天，乙方向甲方支付违约金人民币伍万元，并补偿由此造成的甲方损失。</w:t>
      </w:r>
    </w:p>
    <w:p w14:paraId="6F496700">
      <w:pPr>
        <w:pStyle w:val="19"/>
        <w:keepNext w:val="0"/>
        <w:pageBreakBefore w:val="0"/>
        <w:widowControl w:val="0"/>
        <w:numPr>
          <w:ilvl w:val="0"/>
          <w:numId w:val="0"/>
        </w:numPr>
        <w:kinsoku/>
        <w:wordWrap/>
        <w:overflowPunct/>
        <w:topLinePunct w:val="0"/>
        <w:bidi w:val="0"/>
        <w:snapToGrid w:val="0"/>
        <w:spacing w:line="360" w:lineRule="auto"/>
        <w:ind w:left="420" w:leftChars="0" w:hanging="420" w:firstLineChars="0"/>
        <w:textAlignment w:val="auto"/>
        <w:rPr>
          <w:rFonts w:hint="eastAsia" w:ascii="仿宋" w:hAnsi="仿宋" w:eastAsia="仿宋" w:cs="仿宋"/>
          <w:b/>
          <w:color w:val="auto"/>
          <w:spacing w:val="20"/>
          <w:kern w:val="2"/>
          <w:sz w:val="28"/>
          <w:szCs w:val="28"/>
          <w:highlight w:val="none"/>
          <w:lang w:val="en-US" w:eastAsia="zh-CN" w:bidi="ar-SA"/>
        </w:rPr>
      </w:pPr>
      <w:r>
        <w:rPr>
          <w:rFonts w:hint="eastAsia" w:ascii="仿宋" w:hAnsi="仿宋" w:eastAsia="仿宋" w:cs="仿宋"/>
          <w:b/>
          <w:color w:val="auto"/>
          <w:spacing w:val="20"/>
          <w:kern w:val="2"/>
          <w:sz w:val="28"/>
          <w:szCs w:val="28"/>
          <w:highlight w:val="none"/>
          <w:lang w:val="en-US" w:eastAsia="zh-CN" w:bidi="ar-SA"/>
        </w:rPr>
        <w:t>十一、其他要求</w:t>
      </w:r>
    </w:p>
    <w:p w14:paraId="1CFAC780">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00" w:firstLineChars="200"/>
        <w:textAlignment w:val="auto"/>
        <w:rPr>
          <w:rFonts w:hint="eastAsia" w:ascii="仿宋" w:hAnsi="仿宋" w:eastAsia="仿宋" w:cs="仿宋"/>
          <w:b w:val="0"/>
          <w:color w:val="auto"/>
          <w:kern w:val="2"/>
          <w:sz w:val="30"/>
          <w:szCs w:val="30"/>
          <w:highlight w:val="none"/>
          <w:lang w:val="en-US" w:eastAsia="zh-CN" w:bidi="ar-SA"/>
        </w:rPr>
      </w:pPr>
      <w:r>
        <w:rPr>
          <w:rFonts w:hint="eastAsia" w:ascii="仿宋" w:hAnsi="仿宋" w:eastAsia="仿宋" w:cs="仿宋"/>
          <w:b w:val="0"/>
          <w:color w:val="auto"/>
          <w:kern w:val="2"/>
          <w:sz w:val="30"/>
          <w:szCs w:val="30"/>
          <w:highlight w:val="none"/>
          <w:lang w:val="en-US" w:eastAsia="zh-CN" w:bidi="ar-SA"/>
        </w:rPr>
        <w:t>1、乙方不得将中标项目转包或分包给他人，一经发现,甲方有权终止合同，由此产生的一切经济损失由乙方自行承担。</w:t>
      </w:r>
    </w:p>
    <w:p w14:paraId="09401805">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00" w:firstLineChars="200"/>
        <w:textAlignment w:val="auto"/>
        <w:rPr>
          <w:rFonts w:hint="eastAsia" w:ascii="仿宋" w:hAnsi="仿宋" w:eastAsia="仿宋" w:cs="仿宋"/>
          <w:b w:val="0"/>
          <w:color w:val="auto"/>
          <w:kern w:val="2"/>
          <w:sz w:val="30"/>
          <w:szCs w:val="30"/>
          <w:highlight w:val="none"/>
          <w:lang w:val="en-US" w:eastAsia="zh-CN" w:bidi="ar-SA"/>
        </w:rPr>
      </w:pPr>
      <w:r>
        <w:rPr>
          <w:rFonts w:hint="eastAsia" w:ascii="仿宋" w:hAnsi="仿宋" w:eastAsia="仿宋" w:cs="仿宋"/>
          <w:b w:val="0"/>
          <w:color w:val="auto"/>
          <w:kern w:val="2"/>
          <w:sz w:val="30"/>
          <w:szCs w:val="30"/>
          <w:highlight w:val="none"/>
          <w:lang w:val="en-US" w:eastAsia="zh-CN" w:bidi="ar-SA"/>
        </w:rPr>
        <w:t>2、乙方除不可抗力，不得因其他任何理由延迟送货。甲方如遇特殊情况需推迟送货，应提前通知乙方。因乙方原因延误交货日期的（甲方要求推迟的除外），甲方有权自行采购，并由甲方承担由此产生的一切损失和费用。</w:t>
      </w:r>
    </w:p>
    <w:p w14:paraId="5CA46942">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00" w:firstLineChars="200"/>
        <w:textAlignment w:val="auto"/>
        <w:rPr>
          <w:rFonts w:hint="eastAsia" w:ascii="仿宋" w:hAnsi="仿宋" w:eastAsia="仿宋" w:cs="仿宋"/>
          <w:b w:val="0"/>
          <w:color w:val="auto"/>
          <w:kern w:val="2"/>
          <w:sz w:val="30"/>
          <w:szCs w:val="30"/>
          <w:highlight w:val="none"/>
          <w:lang w:val="en-US" w:eastAsia="zh-CN" w:bidi="ar-SA"/>
        </w:rPr>
      </w:pPr>
      <w:r>
        <w:rPr>
          <w:rFonts w:hint="eastAsia" w:ascii="仿宋" w:hAnsi="仿宋" w:eastAsia="仿宋" w:cs="仿宋"/>
          <w:b w:val="0"/>
          <w:color w:val="auto"/>
          <w:kern w:val="2"/>
          <w:sz w:val="30"/>
          <w:szCs w:val="30"/>
          <w:highlight w:val="none"/>
          <w:lang w:val="en-US" w:eastAsia="zh-CN" w:bidi="ar-SA"/>
        </w:rPr>
        <w:t>3、乙方必须按甲方每次订购物品的数量、种类进行供货，不得出现短斤缺两，或故意多送、错送，否则乙方需自行承担相关后果。</w:t>
      </w:r>
    </w:p>
    <w:p w14:paraId="60BB8090">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00" w:firstLineChars="200"/>
        <w:textAlignment w:val="auto"/>
        <w:rPr>
          <w:rFonts w:hint="eastAsia" w:ascii="仿宋" w:hAnsi="仿宋" w:eastAsia="仿宋" w:cs="仿宋"/>
          <w:b w:val="0"/>
          <w:color w:val="auto"/>
          <w:kern w:val="2"/>
          <w:sz w:val="30"/>
          <w:szCs w:val="30"/>
          <w:highlight w:val="none"/>
          <w:lang w:val="en-US" w:eastAsia="zh-CN" w:bidi="ar-SA"/>
        </w:rPr>
      </w:pPr>
      <w:r>
        <w:rPr>
          <w:rFonts w:hint="eastAsia" w:ascii="仿宋" w:hAnsi="仿宋" w:eastAsia="仿宋" w:cs="仿宋"/>
          <w:b w:val="0"/>
          <w:color w:val="auto"/>
          <w:kern w:val="2"/>
          <w:sz w:val="30"/>
          <w:szCs w:val="30"/>
          <w:highlight w:val="none"/>
          <w:lang w:val="en-US" w:eastAsia="zh-CN" w:bidi="ar-SA"/>
        </w:rPr>
        <w:t>4、如遇特殊接待任务或特殊时期工作要求的，乙方需无条件配合甲方的要求，增派人员、第一时间完成甲方交待的任务。</w:t>
      </w:r>
    </w:p>
    <w:p w14:paraId="3A9C812E">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00" w:firstLineChars="200"/>
        <w:textAlignment w:val="auto"/>
        <w:rPr>
          <w:rFonts w:hint="eastAsia" w:ascii="仿宋" w:hAnsi="仿宋" w:eastAsia="仿宋" w:cs="仿宋"/>
          <w:b w:val="0"/>
          <w:color w:val="auto"/>
          <w:kern w:val="2"/>
          <w:sz w:val="30"/>
          <w:szCs w:val="30"/>
          <w:highlight w:val="none"/>
          <w:lang w:val="en-US" w:eastAsia="zh-CN" w:bidi="ar-SA"/>
        </w:rPr>
      </w:pPr>
      <w:r>
        <w:rPr>
          <w:rFonts w:hint="eastAsia" w:ascii="仿宋" w:hAnsi="仿宋" w:eastAsia="仿宋" w:cs="仿宋"/>
          <w:b w:val="0"/>
          <w:color w:val="auto"/>
          <w:kern w:val="2"/>
          <w:sz w:val="30"/>
          <w:szCs w:val="30"/>
          <w:highlight w:val="none"/>
          <w:lang w:val="en-US" w:eastAsia="zh-CN" w:bidi="ar-SA"/>
        </w:rPr>
        <w:t>5、乙方应具有固定的销售服务人员及运输能力，乙方服务人员具有食品安全相关专业能力，具有食品安全管理师/员证书，货品愿意接受相关质检单位的商品质量检测。乙方必须指派相对固定的人员完成货物配送服务，并需将配送人员的详细资料报甲方备案，货物配送人员必须遵纪守法、品行良好，无违法犯罪记录。</w:t>
      </w:r>
    </w:p>
    <w:p w14:paraId="2B5BDE6D">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00" w:firstLineChars="200"/>
        <w:textAlignment w:val="auto"/>
        <w:rPr>
          <w:rFonts w:hint="eastAsia" w:ascii="仿宋" w:hAnsi="仿宋" w:eastAsia="仿宋" w:cs="仿宋"/>
          <w:b w:val="0"/>
          <w:color w:val="auto"/>
          <w:kern w:val="2"/>
          <w:sz w:val="30"/>
          <w:szCs w:val="30"/>
          <w:highlight w:val="none"/>
          <w:lang w:val="en-US" w:eastAsia="zh-CN" w:bidi="ar-SA"/>
        </w:rPr>
      </w:pPr>
      <w:r>
        <w:rPr>
          <w:rFonts w:hint="eastAsia" w:ascii="仿宋" w:hAnsi="仿宋" w:eastAsia="仿宋" w:cs="仿宋"/>
          <w:b w:val="0"/>
          <w:color w:val="auto"/>
          <w:kern w:val="2"/>
          <w:sz w:val="30"/>
          <w:szCs w:val="30"/>
          <w:highlight w:val="none"/>
          <w:lang w:val="en-US" w:eastAsia="zh-CN" w:bidi="ar-SA"/>
        </w:rPr>
        <w:t>6、乙方应对本项目服务及服务人员制定相应的规章和管理制度，例如：服务标准、泄密处理、仪容仪表规范及人员奖惩制度等。</w:t>
      </w:r>
    </w:p>
    <w:p w14:paraId="619B4094">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00" w:firstLineChars="200"/>
        <w:textAlignment w:val="auto"/>
        <w:rPr>
          <w:rFonts w:hint="eastAsia" w:ascii="仿宋" w:hAnsi="仿宋" w:eastAsia="仿宋" w:cs="仿宋"/>
          <w:b w:val="0"/>
          <w:color w:val="auto"/>
          <w:kern w:val="2"/>
          <w:sz w:val="30"/>
          <w:szCs w:val="30"/>
          <w:highlight w:val="none"/>
          <w:lang w:val="en-US" w:eastAsia="zh-CN" w:bidi="ar-SA"/>
        </w:rPr>
      </w:pPr>
      <w:r>
        <w:rPr>
          <w:rFonts w:hint="eastAsia" w:ascii="仿宋" w:hAnsi="仿宋" w:eastAsia="仿宋" w:cs="仿宋"/>
          <w:b w:val="0"/>
          <w:color w:val="auto"/>
          <w:kern w:val="2"/>
          <w:sz w:val="30"/>
          <w:szCs w:val="30"/>
          <w:highlight w:val="none"/>
          <w:lang w:val="en-US" w:eastAsia="zh-CN" w:bidi="ar-SA"/>
        </w:rPr>
        <w:t>7、乙方针对食材仓储、分拣、配送环节中可能出现的突发情况（如突发停电、台风、暴雨、火灾等导致的仓储、分拣、配送困难或食材短缺；突发车辆故障、交通事故、临时封路等导致的配送困难等情形），这对上述情形应有相应的处置措施；针对食材流通和使用环节可能会出现的质量问题（如仓储、运具不达标致使食材变得不合格等），应有相应的处置措施；针对台风、暴雨等恶劣天气，应有相应的配送保障措施；针对配送人员在配送途中突发车辆故障、交通事故等情况，应有相应的人员替换保障措施。</w:t>
      </w:r>
    </w:p>
    <w:p w14:paraId="32245233">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00" w:firstLineChars="200"/>
        <w:textAlignment w:val="auto"/>
        <w:rPr>
          <w:rFonts w:hint="eastAsia" w:ascii="仿宋" w:hAnsi="仿宋" w:eastAsia="仿宋" w:cs="仿宋"/>
          <w:b w:val="0"/>
          <w:color w:val="auto"/>
          <w:kern w:val="2"/>
          <w:sz w:val="30"/>
          <w:szCs w:val="30"/>
          <w:highlight w:val="none"/>
          <w:lang w:val="en-US" w:eastAsia="zh-CN" w:bidi="ar-SA"/>
        </w:rPr>
      </w:pPr>
      <w:r>
        <w:rPr>
          <w:rFonts w:hint="eastAsia" w:ascii="仿宋" w:hAnsi="仿宋" w:eastAsia="仿宋" w:cs="仿宋"/>
          <w:b w:val="0"/>
          <w:color w:val="auto"/>
          <w:kern w:val="2"/>
          <w:sz w:val="30"/>
          <w:szCs w:val="30"/>
          <w:highlight w:val="none"/>
          <w:lang w:val="en-US" w:eastAsia="zh-CN" w:bidi="ar-SA"/>
        </w:rPr>
        <w:t>8、针对项目履约中的突发情况（如：食品安全事故、临时配送任务等甲方要求的其他情形），供应商需在接到甲方通知后</w:t>
      </w:r>
      <w:r>
        <w:rPr>
          <w:rFonts w:hint="eastAsia" w:ascii="仿宋" w:hAnsi="仿宋" w:eastAsia="仿宋" w:cs="仿宋"/>
          <w:b w:val="0"/>
          <w:color w:val="auto"/>
          <w:kern w:val="2"/>
          <w:sz w:val="28"/>
          <w:szCs w:val="28"/>
          <w:highlight w:val="none"/>
          <w:u w:val="single"/>
          <w:lang w:val="en-US" w:eastAsia="zh-CN" w:bidi="ar-SA"/>
        </w:rPr>
        <w:t xml:space="preserve">  </w:t>
      </w:r>
      <w:r>
        <w:rPr>
          <w:rFonts w:hint="eastAsia" w:ascii="仿宋" w:hAnsi="仿宋" w:eastAsia="仿宋" w:cs="仿宋"/>
          <w:b w:val="0"/>
          <w:color w:val="auto"/>
          <w:kern w:val="2"/>
          <w:sz w:val="30"/>
          <w:szCs w:val="30"/>
          <w:highlight w:val="none"/>
          <w:lang w:val="en-US" w:eastAsia="zh-CN" w:bidi="ar-SA"/>
        </w:rPr>
        <w:t>分钟内响应并到达甲方指定地点。</w:t>
      </w:r>
    </w:p>
    <w:p w14:paraId="60B41DFE">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00" w:firstLineChars="200"/>
        <w:textAlignment w:val="auto"/>
        <w:rPr>
          <w:rFonts w:hint="default" w:ascii="仿宋" w:hAnsi="仿宋" w:eastAsia="仿宋" w:cs="仿宋"/>
          <w:b w:val="0"/>
          <w:color w:val="auto"/>
          <w:kern w:val="2"/>
          <w:sz w:val="30"/>
          <w:szCs w:val="30"/>
          <w:highlight w:val="none"/>
          <w:lang w:val="en-US" w:eastAsia="zh-CN" w:bidi="ar-SA"/>
        </w:rPr>
      </w:pPr>
      <w:r>
        <w:rPr>
          <w:rFonts w:hint="eastAsia" w:ascii="仿宋" w:hAnsi="仿宋" w:eastAsia="仿宋" w:cs="仿宋"/>
          <w:b w:val="0"/>
          <w:color w:val="auto"/>
          <w:kern w:val="2"/>
          <w:sz w:val="30"/>
          <w:szCs w:val="30"/>
          <w:highlight w:val="none"/>
          <w:lang w:val="en-US" w:eastAsia="zh-CN" w:bidi="ar-SA"/>
        </w:rPr>
        <w:t>9、因本项目为食材配送服务，可能因疏忽或过失致使食物中毒或其他食源性疾患或因食物中掺有异物，造成人身损害或财产损失，为保证甲方权益，乙方须为甲方购买食品安全责任保险，保险额度为</w:t>
      </w:r>
      <w:r>
        <w:rPr>
          <w:rFonts w:hint="eastAsia" w:ascii="仿宋" w:hAnsi="仿宋" w:eastAsia="仿宋" w:cs="仿宋"/>
          <w:b w:val="0"/>
          <w:color w:val="auto"/>
          <w:kern w:val="2"/>
          <w:sz w:val="30"/>
          <w:szCs w:val="30"/>
          <w:highlight w:val="none"/>
          <w:u w:val="single"/>
          <w:lang w:val="en-US" w:eastAsia="zh-CN" w:bidi="ar-SA"/>
        </w:rPr>
        <w:t xml:space="preserve">     </w:t>
      </w:r>
      <w:r>
        <w:rPr>
          <w:rFonts w:hint="eastAsia" w:ascii="仿宋" w:hAnsi="仿宋" w:eastAsia="仿宋" w:cs="仿宋"/>
          <w:b w:val="0"/>
          <w:color w:val="auto"/>
          <w:kern w:val="2"/>
          <w:sz w:val="30"/>
          <w:szCs w:val="30"/>
          <w:highlight w:val="none"/>
          <w:lang w:val="en-US" w:eastAsia="zh-CN" w:bidi="ar-SA"/>
        </w:rPr>
        <w:t>万元，保险费由乙方承担，保险承保期限须涵盖本合同约定的服务期，本合同签订后须将保单递交至甲方处存档待查。</w:t>
      </w:r>
    </w:p>
    <w:p w14:paraId="5BA16E5D">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0" w:firstLineChars="0"/>
        <w:textAlignment w:val="auto"/>
        <w:rPr>
          <w:rFonts w:hint="eastAsia" w:ascii="仿宋" w:hAnsi="仿宋" w:eastAsia="仿宋" w:cs="仿宋"/>
          <w:b/>
          <w:color w:val="auto"/>
          <w:spacing w:val="0"/>
          <w:kern w:val="2"/>
          <w:sz w:val="28"/>
          <w:szCs w:val="28"/>
          <w:highlight w:val="none"/>
          <w:lang w:val="en-US" w:eastAsia="zh-CN" w:bidi="ar-SA"/>
        </w:rPr>
      </w:pPr>
      <w:r>
        <w:rPr>
          <w:rFonts w:hint="eastAsia" w:ascii="仿宋" w:hAnsi="仿宋" w:eastAsia="仿宋" w:cs="仿宋"/>
          <w:b/>
          <w:color w:val="auto"/>
          <w:spacing w:val="0"/>
          <w:kern w:val="2"/>
          <w:sz w:val="28"/>
          <w:szCs w:val="28"/>
          <w:highlight w:val="none"/>
          <w:lang w:val="en-US" w:eastAsia="zh-CN" w:bidi="ar-SA"/>
        </w:rPr>
        <w:t>十二、考核评价方法（详见合同附件2：《食材配送考核表》）</w:t>
      </w:r>
    </w:p>
    <w:p w14:paraId="7FBF4A7D">
      <w:pPr>
        <w:pStyle w:val="19"/>
        <w:keepNext w:val="0"/>
        <w:pageBreakBefore w:val="0"/>
        <w:widowControl w:val="0"/>
        <w:numPr>
          <w:ilvl w:val="0"/>
          <w:numId w:val="0"/>
        </w:numPr>
        <w:kinsoku/>
        <w:wordWrap/>
        <w:overflowPunct/>
        <w:topLinePunct w:val="0"/>
        <w:bidi w:val="0"/>
        <w:snapToGrid w:val="0"/>
        <w:spacing w:line="360" w:lineRule="auto"/>
        <w:ind w:left="420" w:leftChars="0" w:hanging="420" w:firstLineChars="0"/>
        <w:textAlignment w:val="auto"/>
        <w:rPr>
          <w:rFonts w:hint="eastAsia" w:ascii="仿宋" w:hAnsi="仿宋" w:eastAsia="仿宋" w:cs="仿宋"/>
          <w:b/>
          <w:color w:val="auto"/>
          <w:spacing w:val="20"/>
          <w:sz w:val="28"/>
          <w:szCs w:val="28"/>
          <w:highlight w:val="none"/>
        </w:rPr>
      </w:pPr>
      <w:r>
        <w:rPr>
          <w:rFonts w:hint="eastAsia" w:ascii="仿宋" w:hAnsi="仿宋" w:eastAsia="仿宋" w:cs="仿宋"/>
          <w:b/>
          <w:color w:val="auto"/>
          <w:spacing w:val="0"/>
          <w:kern w:val="2"/>
          <w:sz w:val="28"/>
          <w:szCs w:val="28"/>
          <w:highlight w:val="none"/>
          <w:lang w:val="en-US" w:eastAsia="zh-CN" w:bidi="ar-SA"/>
        </w:rPr>
        <w:t>十三</w:t>
      </w:r>
      <w:r>
        <w:rPr>
          <w:rFonts w:hint="eastAsia" w:ascii="仿宋" w:hAnsi="仿宋" w:eastAsia="仿宋" w:cs="仿宋"/>
          <w:b/>
          <w:color w:val="auto"/>
          <w:spacing w:val="20"/>
          <w:kern w:val="2"/>
          <w:sz w:val="28"/>
          <w:szCs w:val="28"/>
          <w:highlight w:val="none"/>
          <w:lang w:val="en-US" w:eastAsia="zh-CN" w:bidi="ar-SA"/>
        </w:rPr>
        <w:t>、</w:t>
      </w:r>
      <w:r>
        <w:rPr>
          <w:rFonts w:hint="eastAsia" w:ascii="仿宋" w:hAnsi="仿宋" w:eastAsia="仿宋" w:cs="仿宋"/>
          <w:b/>
          <w:color w:val="auto"/>
          <w:spacing w:val="20"/>
          <w:sz w:val="28"/>
          <w:szCs w:val="28"/>
          <w:highlight w:val="none"/>
        </w:rPr>
        <w:t>付款</w:t>
      </w:r>
    </w:p>
    <w:p w14:paraId="6899988D">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u w:val="none"/>
        </w:rPr>
      </w:pPr>
      <w:r>
        <w:rPr>
          <w:rFonts w:hint="eastAsia" w:ascii="仿宋" w:hAnsi="仿宋" w:eastAsia="仿宋" w:cs="仿宋"/>
          <w:color w:val="auto"/>
          <w:kern w:val="2"/>
          <w:sz w:val="28"/>
          <w:szCs w:val="28"/>
          <w:highlight w:val="none"/>
          <w:lang w:val="en-US" w:eastAsia="zh-CN" w:bidi="ar-SA"/>
        </w:rPr>
        <w:t>1、</w:t>
      </w:r>
      <w:r>
        <w:rPr>
          <w:rFonts w:hint="eastAsia" w:ascii="仿宋" w:hAnsi="仿宋" w:eastAsia="仿宋" w:cs="仿宋"/>
          <w:color w:val="auto"/>
          <w:sz w:val="28"/>
          <w:szCs w:val="28"/>
          <w:highlight w:val="none"/>
        </w:rPr>
        <w:t>服务期：</w:t>
      </w:r>
      <w:r>
        <w:rPr>
          <w:rFonts w:hint="eastAsia" w:ascii="仿宋" w:hAnsi="仿宋" w:eastAsia="仿宋" w:cs="仿宋"/>
          <w:color w:val="auto"/>
          <w:sz w:val="28"/>
          <w:szCs w:val="28"/>
          <w:highlight w:val="none"/>
          <w:u w:val="none"/>
          <w:lang w:val="en-US" w:eastAsia="zh-CN"/>
        </w:rPr>
        <w:t>自合同签订之日起3年或本合同金额（¥10,000,000.00）使用完毕，以其中一项先到达的为止。</w:t>
      </w:r>
    </w:p>
    <w:p w14:paraId="677E5A79">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kern w:val="2"/>
          <w:sz w:val="28"/>
          <w:szCs w:val="28"/>
          <w:highlight w:val="none"/>
          <w:lang w:val="en-US" w:eastAsia="zh-CN" w:bidi="ar-SA"/>
        </w:rPr>
        <w:t>2、</w:t>
      </w:r>
      <w:r>
        <w:rPr>
          <w:rFonts w:hint="eastAsia" w:ascii="仿宋" w:hAnsi="仿宋" w:eastAsia="仿宋" w:cs="仿宋"/>
          <w:color w:val="auto"/>
          <w:sz w:val="28"/>
          <w:szCs w:val="28"/>
          <w:highlight w:val="none"/>
        </w:rPr>
        <w:t>每月10日前</w:t>
      </w:r>
      <w:r>
        <w:rPr>
          <w:rFonts w:hint="eastAsia" w:ascii="仿宋" w:hAnsi="仿宋" w:eastAsia="仿宋" w:cs="仿宋"/>
          <w:color w:val="auto"/>
          <w:sz w:val="28"/>
          <w:szCs w:val="28"/>
          <w:highlight w:val="none"/>
          <w:lang w:val="en-US" w:eastAsia="zh-CN"/>
        </w:rPr>
        <w:t>乙方</w:t>
      </w:r>
      <w:r>
        <w:rPr>
          <w:rFonts w:hint="eastAsia" w:ascii="仿宋" w:hAnsi="仿宋" w:eastAsia="仿宋" w:cs="仿宋"/>
          <w:color w:val="auto"/>
          <w:sz w:val="28"/>
          <w:szCs w:val="28"/>
          <w:highlight w:val="none"/>
        </w:rPr>
        <w:t>凭经</w:t>
      </w:r>
      <w:r>
        <w:rPr>
          <w:rFonts w:hint="eastAsia" w:ascii="仿宋" w:hAnsi="仿宋" w:eastAsia="仿宋" w:cs="仿宋"/>
          <w:color w:val="auto"/>
          <w:sz w:val="28"/>
          <w:szCs w:val="28"/>
          <w:highlight w:val="none"/>
          <w:lang w:val="en-US" w:eastAsia="zh-CN"/>
        </w:rPr>
        <w:t>甲方</w:t>
      </w:r>
      <w:r>
        <w:rPr>
          <w:rFonts w:hint="eastAsia" w:ascii="仿宋" w:hAnsi="仿宋" w:eastAsia="仿宋" w:cs="仿宋"/>
          <w:color w:val="auto"/>
          <w:sz w:val="28"/>
          <w:szCs w:val="28"/>
          <w:highlight w:val="none"/>
        </w:rPr>
        <w:t>签字确认的上月每日验收登记表（须列明配送时间、规格、质量、数量及价格等信息）、《食材配送考核表》、等额合规发票及本项目合同向</w:t>
      </w:r>
      <w:r>
        <w:rPr>
          <w:rFonts w:hint="eastAsia" w:ascii="仿宋" w:hAnsi="仿宋" w:eastAsia="仿宋" w:cs="仿宋"/>
          <w:color w:val="auto"/>
          <w:sz w:val="28"/>
          <w:szCs w:val="28"/>
          <w:highlight w:val="none"/>
          <w:lang w:val="en-US" w:eastAsia="zh-CN"/>
        </w:rPr>
        <w:t>甲方</w:t>
      </w:r>
      <w:r>
        <w:rPr>
          <w:rFonts w:hint="eastAsia" w:ascii="仿宋" w:hAnsi="仿宋" w:eastAsia="仿宋" w:cs="仿宋"/>
          <w:color w:val="auto"/>
          <w:sz w:val="28"/>
          <w:szCs w:val="28"/>
          <w:highlight w:val="none"/>
        </w:rPr>
        <w:t>请款，请款资料中收款方、发票出具方、合同乙方均必须与</w:t>
      </w:r>
      <w:r>
        <w:rPr>
          <w:rFonts w:hint="eastAsia" w:ascii="仿宋" w:hAnsi="仿宋" w:eastAsia="仿宋" w:cs="仿宋"/>
          <w:color w:val="auto"/>
          <w:sz w:val="28"/>
          <w:szCs w:val="28"/>
          <w:highlight w:val="none"/>
          <w:lang w:val="en-US" w:eastAsia="zh-CN"/>
        </w:rPr>
        <w:t>乙方</w:t>
      </w:r>
      <w:r>
        <w:rPr>
          <w:rFonts w:hint="eastAsia" w:ascii="仿宋" w:hAnsi="仿宋" w:eastAsia="仿宋" w:cs="仿宋"/>
          <w:color w:val="auto"/>
          <w:sz w:val="28"/>
          <w:szCs w:val="28"/>
          <w:highlight w:val="none"/>
        </w:rPr>
        <w:t>名称一致。</w:t>
      </w:r>
      <w:r>
        <w:rPr>
          <w:rFonts w:hint="eastAsia" w:ascii="仿宋" w:hAnsi="仿宋" w:eastAsia="仿宋" w:cs="仿宋"/>
          <w:color w:val="auto"/>
          <w:sz w:val="28"/>
          <w:szCs w:val="28"/>
          <w:highlight w:val="none"/>
          <w:lang w:val="en-US" w:eastAsia="zh-CN"/>
        </w:rPr>
        <w:t>甲方</w:t>
      </w:r>
      <w:r>
        <w:rPr>
          <w:rFonts w:hint="eastAsia" w:ascii="仿宋" w:hAnsi="仿宋" w:eastAsia="仿宋" w:cs="仿宋"/>
          <w:color w:val="auto"/>
          <w:sz w:val="28"/>
          <w:szCs w:val="28"/>
          <w:highlight w:val="none"/>
        </w:rPr>
        <w:t>收到合格请款资料后10个工作日内根据</w:t>
      </w:r>
      <w:r>
        <w:rPr>
          <w:rFonts w:hint="eastAsia" w:ascii="仿宋" w:hAnsi="仿宋" w:eastAsia="仿宋" w:cs="仿宋"/>
          <w:color w:val="auto"/>
          <w:sz w:val="28"/>
          <w:szCs w:val="28"/>
          <w:highlight w:val="none"/>
          <w:lang w:val="en-US" w:eastAsia="zh-CN"/>
        </w:rPr>
        <w:t>乙方</w:t>
      </w:r>
      <w:r>
        <w:rPr>
          <w:rFonts w:hint="eastAsia" w:ascii="仿宋" w:hAnsi="仿宋" w:eastAsia="仿宋" w:cs="仿宋"/>
          <w:color w:val="auto"/>
          <w:sz w:val="28"/>
          <w:szCs w:val="28"/>
          <w:highlight w:val="none"/>
        </w:rPr>
        <w:t>上月食材配送考核得分情况按约定扣减后支付对应服务费。计算方式为：最终服务费=结算</w:t>
      </w:r>
      <w:r>
        <w:rPr>
          <w:rFonts w:hint="eastAsia" w:ascii="仿宋" w:hAnsi="仿宋" w:eastAsia="仿宋" w:cs="仿宋"/>
          <w:color w:val="auto"/>
          <w:sz w:val="28"/>
          <w:szCs w:val="28"/>
          <w:highlight w:val="none"/>
          <w:lang w:val="en-US" w:eastAsia="zh-CN"/>
        </w:rPr>
        <w:t>价格×</w:t>
      </w:r>
      <w:r>
        <w:rPr>
          <w:rFonts w:hint="eastAsia" w:ascii="仿宋" w:hAnsi="仿宋" w:eastAsia="仿宋" w:cs="仿宋"/>
          <w:color w:val="auto"/>
          <w:sz w:val="28"/>
          <w:szCs w:val="28"/>
          <w:highlight w:val="none"/>
        </w:rPr>
        <w:t>采购</w:t>
      </w:r>
      <w:r>
        <w:rPr>
          <w:rFonts w:hint="eastAsia" w:ascii="仿宋" w:hAnsi="仿宋" w:eastAsia="仿宋" w:cs="仿宋"/>
          <w:color w:val="auto"/>
          <w:sz w:val="28"/>
          <w:szCs w:val="28"/>
          <w:highlight w:val="none"/>
          <w:lang w:val="en-US" w:eastAsia="zh-CN"/>
        </w:rPr>
        <w:t>数</w:t>
      </w:r>
      <w:r>
        <w:rPr>
          <w:rFonts w:hint="eastAsia" w:ascii="仿宋" w:hAnsi="仿宋" w:eastAsia="仿宋" w:cs="仿宋"/>
          <w:color w:val="auto"/>
          <w:sz w:val="28"/>
          <w:szCs w:val="28"/>
          <w:highlight w:val="none"/>
        </w:rPr>
        <w:t>量</w:t>
      </w:r>
      <w:r>
        <w:rPr>
          <w:rFonts w:hint="eastAsia" w:ascii="仿宋" w:hAnsi="仿宋" w:eastAsia="仿宋" w:cs="仿宋"/>
          <w:color w:val="auto"/>
          <w:sz w:val="28"/>
          <w:szCs w:val="28"/>
          <w:highlight w:val="none"/>
          <w:lang w:val="en-US" w:eastAsia="zh-CN"/>
        </w:rPr>
        <w:t>×</w:t>
      </w:r>
      <w:r>
        <w:rPr>
          <w:rFonts w:hint="eastAsia" w:ascii="仿宋" w:hAnsi="仿宋" w:eastAsia="仿宋" w:cs="仿宋"/>
          <w:color w:val="auto"/>
          <w:sz w:val="28"/>
          <w:szCs w:val="28"/>
          <w:highlight w:val="none"/>
        </w:rPr>
        <w:t>（1-考核扣除比例）</w:t>
      </w:r>
      <w:r>
        <w:rPr>
          <w:rFonts w:hint="eastAsia" w:ascii="仿宋" w:hAnsi="仿宋" w:eastAsia="仿宋" w:cs="仿宋"/>
          <w:color w:val="auto"/>
          <w:sz w:val="28"/>
          <w:szCs w:val="28"/>
          <w:highlight w:val="none"/>
          <w:lang w:eastAsia="zh-CN"/>
        </w:rPr>
        <w:t>。</w:t>
      </w:r>
    </w:p>
    <w:p w14:paraId="533F217D">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default"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3、甲方在本合同项下支付的全部价款为含增值税金额，甲方不再另行向乙方支付增值税及相关附加税费。</w:t>
      </w:r>
    </w:p>
    <w:p w14:paraId="413B06ED">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2"/>
          <w:sz w:val="28"/>
          <w:szCs w:val="28"/>
          <w:highlight w:val="none"/>
          <w:lang w:val="en-US" w:eastAsia="zh-CN" w:bidi="ar-SA"/>
        </w:rPr>
        <w:t>4、</w:t>
      </w:r>
      <w:r>
        <w:rPr>
          <w:rFonts w:hint="eastAsia" w:ascii="仿宋" w:hAnsi="仿宋" w:eastAsia="仿宋" w:cs="仿宋"/>
          <w:color w:val="auto"/>
          <w:sz w:val="28"/>
          <w:szCs w:val="28"/>
          <w:highlight w:val="none"/>
        </w:rPr>
        <w:t>根据现行税法规定对乙方或其雇员征收的与本合同有关的一切税费均应由乙方负担。</w:t>
      </w:r>
    </w:p>
    <w:p w14:paraId="108585A5">
      <w:pPr>
        <w:pStyle w:val="19"/>
        <w:keepNext w:val="0"/>
        <w:pageBreakBefore w:val="0"/>
        <w:widowControl w:val="0"/>
        <w:numPr>
          <w:ilvl w:val="0"/>
          <w:numId w:val="0"/>
        </w:numPr>
        <w:kinsoku/>
        <w:wordWrap/>
        <w:overflowPunct/>
        <w:topLinePunct w:val="0"/>
        <w:bidi w:val="0"/>
        <w:snapToGrid w:val="0"/>
        <w:spacing w:line="360" w:lineRule="auto"/>
        <w:ind w:left="420" w:leftChars="0" w:hanging="420" w:firstLineChars="0"/>
        <w:textAlignment w:val="auto"/>
        <w:rPr>
          <w:rFonts w:hint="eastAsia" w:ascii="仿宋" w:hAnsi="仿宋" w:eastAsia="仿宋" w:cs="仿宋"/>
          <w:b/>
          <w:color w:val="auto"/>
          <w:spacing w:val="20"/>
          <w:sz w:val="28"/>
          <w:szCs w:val="28"/>
          <w:highlight w:val="none"/>
        </w:rPr>
      </w:pPr>
      <w:r>
        <w:rPr>
          <w:rFonts w:hint="eastAsia" w:ascii="仿宋" w:hAnsi="仿宋" w:eastAsia="仿宋" w:cs="仿宋"/>
          <w:b/>
          <w:color w:val="auto"/>
          <w:spacing w:val="0"/>
          <w:kern w:val="2"/>
          <w:sz w:val="28"/>
          <w:szCs w:val="28"/>
          <w:highlight w:val="none"/>
          <w:lang w:val="en-US" w:eastAsia="zh-CN" w:bidi="ar-SA"/>
        </w:rPr>
        <w:t>十四</w:t>
      </w:r>
      <w:r>
        <w:rPr>
          <w:rFonts w:hint="eastAsia" w:ascii="仿宋" w:hAnsi="仿宋" w:eastAsia="仿宋" w:cs="仿宋"/>
          <w:b/>
          <w:color w:val="auto"/>
          <w:spacing w:val="20"/>
          <w:kern w:val="2"/>
          <w:sz w:val="28"/>
          <w:szCs w:val="28"/>
          <w:highlight w:val="none"/>
          <w:lang w:val="en-US" w:eastAsia="zh-CN" w:bidi="ar-SA"/>
        </w:rPr>
        <w:t>、</w:t>
      </w:r>
      <w:r>
        <w:rPr>
          <w:rFonts w:hint="eastAsia" w:ascii="仿宋" w:hAnsi="仿宋" w:eastAsia="仿宋" w:cs="仿宋"/>
          <w:b/>
          <w:color w:val="auto"/>
          <w:spacing w:val="20"/>
          <w:sz w:val="28"/>
          <w:szCs w:val="28"/>
          <w:highlight w:val="none"/>
        </w:rPr>
        <w:t>分包与转包</w:t>
      </w:r>
    </w:p>
    <w:p w14:paraId="6D64D2B8">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严禁转包，未经甲方书面同意不得分包</w:t>
      </w:r>
      <w:r>
        <w:rPr>
          <w:rFonts w:hint="eastAsia" w:ascii="仿宋" w:hAnsi="仿宋" w:eastAsia="仿宋" w:cs="仿宋"/>
          <w:color w:val="auto"/>
          <w:sz w:val="28"/>
          <w:szCs w:val="28"/>
          <w:highlight w:val="none"/>
          <w:lang w:eastAsia="zh-CN"/>
        </w:rPr>
        <w:t>。</w:t>
      </w:r>
    </w:p>
    <w:p w14:paraId="4FF4DD7F">
      <w:pPr>
        <w:pStyle w:val="19"/>
        <w:keepNext w:val="0"/>
        <w:pageBreakBefore w:val="0"/>
        <w:widowControl w:val="0"/>
        <w:numPr>
          <w:ilvl w:val="0"/>
          <w:numId w:val="0"/>
        </w:numPr>
        <w:kinsoku/>
        <w:wordWrap/>
        <w:overflowPunct/>
        <w:topLinePunct w:val="0"/>
        <w:bidi w:val="0"/>
        <w:snapToGrid w:val="0"/>
        <w:spacing w:line="360" w:lineRule="auto"/>
        <w:ind w:left="420" w:leftChars="0" w:hanging="420" w:firstLineChars="0"/>
        <w:textAlignment w:val="auto"/>
        <w:rPr>
          <w:rFonts w:hint="eastAsia" w:ascii="仿宋" w:hAnsi="仿宋" w:eastAsia="仿宋" w:cs="仿宋"/>
          <w:b/>
          <w:color w:val="auto"/>
          <w:spacing w:val="20"/>
          <w:sz w:val="28"/>
          <w:szCs w:val="28"/>
          <w:highlight w:val="none"/>
        </w:rPr>
      </w:pPr>
      <w:r>
        <w:rPr>
          <w:rFonts w:hint="eastAsia" w:ascii="仿宋" w:hAnsi="仿宋" w:eastAsia="仿宋" w:cs="仿宋"/>
          <w:b/>
          <w:color w:val="auto"/>
          <w:spacing w:val="0"/>
          <w:kern w:val="2"/>
          <w:sz w:val="28"/>
          <w:szCs w:val="28"/>
          <w:highlight w:val="none"/>
          <w:lang w:val="en-US" w:eastAsia="zh-CN" w:bidi="ar-SA"/>
        </w:rPr>
        <w:t>十五</w:t>
      </w:r>
      <w:r>
        <w:rPr>
          <w:rFonts w:hint="eastAsia" w:ascii="仿宋" w:hAnsi="仿宋" w:eastAsia="仿宋" w:cs="仿宋"/>
          <w:b/>
          <w:color w:val="auto"/>
          <w:spacing w:val="20"/>
          <w:kern w:val="2"/>
          <w:sz w:val="28"/>
          <w:szCs w:val="28"/>
          <w:highlight w:val="none"/>
          <w:lang w:val="en-US" w:eastAsia="zh-CN" w:bidi="ar-SA"/>
        </w:rPr>
        <w:t>、</w:t>
      </w:r>
      <w:r>
        <w:rPr>
          <w:rFonts w:hint="eastAsia" w:ascii="仿宋" w:hAnsi="仿宋" w:eastAsia="仿宋" w:cs="仿宋"/>
          <w:b/>
          <w:color w:val="auto"/>
          <w:spacing w:val="20"/>
          <w:sz w:val="28"/>
          <w:szCs w:val="28"/>
          <w:highlight w:val="none"/>
        </w:rPr>
        <w:t>违约责任</w:t>
      </w:r>
    </w:p>
    <w:p w14:paraId="7FE22654">
      <w:pPr>
        <w:pStyle w:val="27"/>
        <w:keepNext w:val="0"/>
        <w:keepLines w:val="0"/>
        <w:pageBreakBefore w:val="0"/>
        <w:widowControl w:val="0"/>
        <w:numPr>
          <w:ilvl w:val="0"/>
          <w:numId w:val="0"/>
        </w:numPr>
        <w:tabs>
          <w:tab w:val="left" w:pos="84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b w:val="0"/>
          <w:color w:val="auto"/>
          <w:kern w:val="2"/>
          <w:sz w:val="28"/>
          <w:szCs w:val="28"/>
          <w:highlight w:val="none"/>
          <w:lang w:val="en-US" w:eastAsia="zh-CN" w:bidi="ar-SA"/>
        </w:rPr>
        <w:t>1、</w:t>
      </w:r>
      <w:r>
        <w:rPr>
          <w:rFonts w:hint="eastAsia" w:ascii="仿宋" w:hAnsi="仿宋" w:eastAsia="仿宋" w:cs="仿宋"/>
          <w:color w:val="auto"/>
          <w:sz w:val="28"/>
          <w:szCs w:val="28"/>
          <w:highlight w:val="none"/>
        </w:rPr>
        <w:t>乙方违反合同及招标文件约定的有关义务，对甲方造成经济损失的，应给予甲方经济赔偿；如造成重大损失的，甲方有权终止合同。</w:t>
      </w:r>
    </w:p>
    <w:p w14:paraId="21E55283">
      <w:pPr>
        <w:pStyle w:val="27"/>
        <w:keepNext w:val="0"/>
        <w:keepLines w:val="0"/>
        <w:pageBreakBefore w:val="0"/>
        <w:widowControl w:val="0"/>
        <w:numPr>
          <w:ilvl w:val="0"/>
          <w:numId w:val="0"/>
        </w:numPr>
        <w:tabs>
          <w:tab w:val="left" w:pos="84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b w:val="0"/>
          <w:color w:val="auto"/>
          <w:kern w:val="2"/>
          <w:sz w:val="28"/>
          <w:szCs w:val="28"/>
          <w:highlight w:val="none"/>
          <w:lang w:val="en-US" w:eastAsia="zh-CN" w:bidi="ar-SA"/>
        </w:rPr>
        <w:t>2、</w:t>
      </w:r>
      <w:r>
        <w:rPr>
          <w:rFonts w:hint="eastAsia" w:ascii="仿宋" w:hAnsi="仿宋" w:eastAsia="仿宋" w:cs="仿宋"/>
          <w:color w:val="auto"/>
          <w:sz w:val="28"/>
          <w:szCs w:val="28"/>
          <w:highlight w:val="none"/>
        </w:rPr>
        <w:t>除合同规定外，如果乙方没有按照合同规定的时间交付或完成，甲方可要求乙方支付违约金。从逾期之日起每日按本合同总价</w:t>
      </w:r>
      <w:r>
        <w:rPr>
          <w:rFonts w:hint="eastAsia" w:ascii="仿宋" w:hAnsi="仿宋" w:eastAsia="仿宋" w:cs="仿宋"/>
          <w:color w:val="auto"/>
          <w:sz w:val="28"/>
          <w:szCs w:val="28"/>
          <w:highlight w:val="none"/>
          <w:u w:val="single"/>
        </w:rPr>
        <w:t xml:space="preserve"> 3 </w:t>
      </w:r>
      <w:r>
        <w:rPr>
          <w:rFonts w:hint="eastAsia" w:ascii="仿宋" w:hAnsi="仿宋" w:eastAsia="仿宋" w:cs="仿宋"/>
          <w:color w:val="auto"/>
          <w:sz w:val="28"/>
          <w:szCs w:val="28"/>
          <w:highlight w:val="none"/>
        </w:rPr>
        <w:t>‰的数额向甲方支付违约金；逾期15天或以上的，甲方有权终止合同，要求乙方一次性支付合同总金额</w:t>
      </w:r>
      <w:r>
        <w:rPr>
          <w:rFonts w:hint="eastAsia" w:ascii="仿宋" w:hAnsi="仿宋" w:eastAsia="仿宋" w:cs="仿宋"/>
          <w:color w:val="auto"/>
          <w:sz w:val="28"/>
          <w:szCs w:val="28"/>
          <w:highlight w:val="none"/>
          <w:u w:val="single"/>
        </w:rPr>
        <w:t xml:space="preserve"> 20 %</w:t>
      </w:r>
      <w:r>
        <w:rPr>
          <w:rFonts w:hint="eastAsia" w:ascii="仿宋" w:hAnsi="仿宋" w:eastAsia="仿宋" w:cs="仿宋"/>
          <w:color w:val="auto"/>
          <w:sz w:val="28"/>
          <w:szCs w:val="28"/>
          <w:highlight w:val="none"/>
        </w:rPr>
        <w:t>违约金，并且给甲方造成的经济损失由乙方承担赔偿责任。</w:t>
      </w:r>
    </w:p>
    <w:p w14:paraId="759B37F0">
      <w:pPr>
        <w:pStyle w:val="27"/>
        <w:keepNext w:val="0"/>
        <w:keepLines w:val="0"/>
        <w:pageBreakBefore w:val="0"/>
        <w:widowControl w:val="0"/>
        <w:numPr>
          <w:ilvl w:val="0"/>
          <w:numId w:val="0"/>
        </w:numPr>
        <w:tabs>
          <w:tab w:val="left" w:pos="84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b w:val="0"/>
          <w:color w:val="auto"/>
          <w:kern w:val="2"/>
          <w:sz w:val="28"/>
          <w:szCs w:val="28"/>
          <w:highlight w:val="none"/>
          <w:lang w:val="en-US" w:eastAsia="zh-CN" w:bidi="ar-SA"/>
        </w:rPr>
        <w:t>3、</w:t>
      </w:r>
      <w:r>
        <w:rPr>
          <w:rFonts w:hint="eastAsia" w:ascii="仿宋" w:hAnsi="仿宋" w:eastAsia="仿宋" w:cs="仿宋"/>
          <w:color w:val="auto"/>
          <w:sz w:val="28"/>
          <w:szCs w:val="28"/>
          <w:highlight w:val="none"/>
        </w:rPr>
        <w:t>因乙方原因导致本合同解除或是无法履行的，乙方应向甲方支付合同总价</w:t>
      </w:r>
      <w:r>
        <w:rPr>
          <w:rFonts w:hint="eastAsia" w:ascii="仿宋" w:hAnsi="仿宋" w:eastAsia="仿宋" w:cs="仿宋"/>
          <w:color w:val="auto"/>
          <w:sz w:val="28"/>
          <w:szCs w:val="28"/>
          <w:highlight w:val="none"/>
          <w:u w:val="single"/>
        </w:rPr>
        <w:t xml:space="preserve"> 20 %</w:t>
      </w:r>
      <w:r>
        <w:rPr>
          <w:rFonts w:hint="eastAsia" w:ascii="仿宋" w:hAnsi="仿宋" w:eastAsia="仿宋" w:cs="仿宋"/>
          <w:color w:val="auto"/>
          <w:sz w:val="28"/>
          <w:szCs w:val="28"/>
          <w:highlight w:val="none"/>
        </w:rPr>
        <w:t>的违约金，并且给甲方造成的经济损失由乙方承担赔偿责任。</w:t>
      </w:r>
    </w:p>
    <w:p w14:paraId="6D6B52C5">
      <w:pPr>
        <w:pStyle w:val="27"/>
        <w:keepNext w:val="0"/>
        <w:keepLines w:val="0"/>
        <w:pageBreakBefore w:val="0"/>
        <w:widowControl w:val="0"/>
        <w:numPr>
          <w:ilvl w:val="0"/>
          <w:numId w:val="0"/>
        </w:numPr>
        <w:tabs>
          <w:tab w:val="left" w:pos="84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4、甲方有权从应支付未支付的款项中或是履约保证金中直接扣除乙方的违约金，或从履约保函中提取相应数额的保证金，不足的部分由乙方另行补足。</w:t>
      </w:r>
    </w:p>
    <w:p w14:paraId="5EBDF5E9">
      <w:pPr>
        <w:pStyle w:val="27"/>
        <w:keepNext w:val="0"/>
        <w:keepLines w:val="0"/>
        <w:pageBreakBefore w:val="0"/>
        <w:widowControl w:val="0"/>
        <w:numPr>
          <w:ilvl w:val="0"/>
          <w:numId w:val="0"/>
        </w:numPr>
        <w:tabs>
          <w:tab w:val="left" w:pos="84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b w:val="0"/>
          <w:color w:val="auto"/>
          <w:kern w:val="2"/>
          <w:sz w:val="28"/>
          <w:szCs w:val="28"/>
          <w:highlight w:val="none"/>
          <w:lang w:val="en-US" w:eastAsia="zh-CN" w:bidi="ar-SA"/>
        </w:rPr>
        <w:t>5、乙方违反合同约定的，除赔偿甲方损失、承担违约责任外，还应当承担甲方为维权支出的合理费用，包括但不限于诉讼费、律师费等。</w:t>
      </w:r>
    </w:p>
    <w:p w14:paraId="388FD213">
      <w:pPr>
        <w:pStyle w:val="19"/>
        <w:keepNext w:val="0"/>
        <w:pageBreakBefore w:val="0"/>
        <w:widowControl w:val="0"/>
        <w:numPr>
          <w:ilvl w:val="0"/>
          <w:numId w:val="0"/>
        </w:numPr>
        <w:kinsoku/>
        <w:wordWrap/>
        <w:overflowPunct/>
        <w:topLinePunct w:val="0"/>
        <w:bidi w:val="0"/>
        <w:snapToGrid w:val="0"/>
        <w:spacing w:line="360" w:lineRule="auto"/>
        <w:ind w:left="420" w:leftChars="0" w:hanging="420" w:firstLineChars="0"/>
        <w:textAlignment w:val="auto"/>
        <w:rPr>
          <w:rFonts w:hint="eastAsia" w:ascii="仿宋" w:hAnsi="仿宋" w:eastAsia="仿宋" w:cs="仿宋"/>
          <w:b/>
          <w:color w:val="auto"/>
          <w:spacing w:val="20"/>
          <w:sz w:val="28"/>
          <w:szCs w:val="28"/>
          <w:highlight w:val="none"/>
        </w:rPr>
      </w:pPr>
      <w:r>
        <w:rPr>
          <w:rFonts w:hint="eastAsia" w:ascii="仿宋" w:hAnsi="仿宋" w:eastAsia="仿宋" w:cs="仿宋"/>
          <w:b/>
          <w:color w:val="auto"/>
          <w:spacing w:val="0"/>
          <w:kern w:val="2"/>
          <w:sz w:val="28"/>
          <w:szCs w:val="28"/>
          <w:highlight w:val="none"/>
          <w:lang w:val="en-US" w:eastAsia="zh-CN" w:bidi="ar-SA"/>
        </w:rPr>
        <w:t>十六</w:t>
      </w:r>
      <w:r>
        <w:rPr>
          <w:rFonts w:hint="eastAsia" w:ascii="仿宋" w:hAnsi="仿宋" w:eastAsia="仿宋" w:cs="仿宋"/>
          <w:b/>
          <w:color w:val="auto"/>
          <w:spacing w:val="20"/>
          <w:kern w:val="2"/>
          <w:sz w:val="28"/>
          <w:szCs w:val="28"/>
          <w:highlight w:val="none"/>
          <w:lang w:val="en-US" w:eastAsia="zh-CN" w:bidi="ar-SA"/>
        </w:rPr>
        <w:t>、</w:t>
      </w:r>
      <w:r>
        <w:rPr>
          <w:rFonts w:hint="eastAsia" w:ascii="仿宋" w:hAnsi="仿宋" w:eastAsia="仿宋" w:cs="仿宋"/>
          <w:b/>
          <w:color w:val="auto"/>
          <w:spacing w:val="20"/>
          <w:sz w:val="28"/>
          <w:szCs w:val="28"/>
          <w:highlight w:val="none"/>
        </w:rPr>
        <w:t>争议的解决办法</w:t>
      </w:r>
    </w:p>
    <w:p w14:paraId="007AE1FF">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1、凡与本合同有关而引起的一切争议，甲乙双方应首先通过友好协商解决，如经协商后仍不能达成协议时，任何一方可以向甲方所在地法院提出诉讼。</w:t>
      </w:r>
    </w:p>
    <w:p w14:paraId="028D9918">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2、在进行法院审理期间，除提交法院审理的事项外，合同其他部分仍继续履行。</w:t>
      </w:r>
    </w:p>
    <w:p w14:paraId="0D36CE6C">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3、本合同按照中华人民共和国的法律进行解释。</w:t>
      </w:r>
    </w:p>
    <w:p w14:paraId="0A99CF3F">
      <w:pPr>
        <w:pStyle w:val="19"/>
        <w:keepNext w:val="0"/>
        <w:pageBreakBefore w:val="0"/>
        <w:widowControl w:val="0"/>
        <w:numPr>
          <w:ilvl w:val="0"/>
          <w:numId w:val="0"/>
        </w:numPr>
        <w:kinsoku/>
        <w:wordWrap/>
        <w:overflowPunct/>
        <w:topLinePunct w:val="0"/>
        <w:bidi w:val="0"/>
        <w:snapToGrid w:val="0"/>
        <w:spacing w:line="360" w:lineRule="auto"/>
        <w:ind w:left="420" w:leftChars="0" w:hanging="420" w:firstLineChars="0"/>
        <w:textAlignment w:val="auto"/>
        <w:rPr>
          <w:rFonts w:hint="eastAsia" w:ascii="仿宋" w:hAnsi="仿宋" w:eastAsia="仿宋" w:cs="仿宋"/>
          <w:b/>
          <w:color w:val="auto"/>
          <w:spacing w:val="20"/>
          <w:sz w:val="28"/>
          <w:szCs w:val="28"/>
          <w:highlight w:val="none"/>
        </w:rPr>
      </w:pPr>
      <w:r>
        <w:rPr>
          <w:rFonts w:hint="eastAsia" w:ascii="仿宋" w:hAnsi="仿宋" w:eastAsia="仿宋" w:cs="仿宋"/>
          <w:b/>
          <w:color w:val="auto"/>
          <w:spacing w:val="0"/>
          <w:kern w:val="2"/>
          <w:sz w:val="28"/>
          <w:szCs w:val="28"/>
          <w:highlight w:val="none"/>
          <w:lang w:val="en-US" w:eastAsia="zh-CN" w:bidi="ar-SA"/>
        </w:rPr>
        <w:t>十七</w:t>
      </w:r>
      <w:r>
        <w:rPr>
          <w:rFonts w:hint="eastAsia" w:ascii="仿宋" w:hAnsi="仿宋" w:eastAsia="仿宋" w:cs="仿宋"/>
          <w:b/>
          <w:color w:val="auto"/>
          <w:spacing w:val="20"/>
          <w:kern w:val="2"/>
          <w:sz w:val="28"/>
          <w:szCs w:val="28"/>
          <w:highlight w:val="none"/>
          <w:lang w:val="en-US" w:eastAsia="zh-CN" w:bidi="ar-SA"/>
        </w:rPr>
        <w:t>、</w:t>
      </w:r>
      <w:r>
        <w:rPr>
          <w:rFonts w:hint="eastAsia" w:ascii="仿宋" w:hAnsi="仿宋" w:eastAsia="仿宋" w:cs="仿宋"/>
          <w:b/>
          <w:color w:val="auto"/>
          <w:spacing w:val="20"/>
          <w:sz w:val="28"/>
          <w:szCs w:val="28"/>
          <w:highlight w:val="none"/>
        </w:rPr>
        <w:t>不可抗力</w:t>
      </w:r>
    </w:p>
    <w:p w14:paraId="49B059E6">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b w:val="0"/>
          <w:color w:val="auto"/>
          <w:kern w:val="2"/>
          <w:sz w:val="28"/>
          <w:szCs w:val="28"/>
          <w:highlight w:val="none"/>
          <w:lang w:val="en-US" w:eastAsia="zh-CN" w:bidi="ar-SA"/>
        </w:rPr>
        <w:t>1、</w:t>
      </w:r>
      <w:r>
        <w:rPr>
          <w:rFonts w:hint="eastAsia" w:ascii="仿宋" w:hAnsi="仿宋" w:eastAsia="仿宋" w:cs="仿宋"/>
          <w:color w:val="auto"/>
          <w:sz w:val="28"/>
          <w:szCs w:val="28"/>
          <w:highlight w:val="none"/>
        </w:rPr>
        <w:t>甲乙双方如果任何一方因不可抗拒力的力量如地震、风暴、洪水、火灾或其他自然灾害、瘟疫、战争、暴乱、敌对行动、公共骚乱、公共敌人的行为、政府或公共机关的禁止、劳资纠纷或其他双方无法控制、不可预见的事件，而无法履行本合同规定的义务时，应及时向对方通报不能履行或不能完全履行的理由，以减轻可能给对方造成的损失，在取得有关机构证明后，允许延期履行、部分履行或不履行合同，并根据情况可部分或全部免予承担违约责任。</w:t>
      </w:r>
    </w:p>
    <w:p w14:paraId="0D75BC14">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b w:val="0"/>
          <w:color w:val="auto"/>
          <w:kern w:val="2"/>
          <w:sz w:val="28"/>
          <w:szCs w:val="28"/>
          <w:highlight w:val="none"/>
          <w:lang w:val="en-US" w:eastAsia="zh-CN" w:bidi="ar-SA"/>
        </w:rPr>
        <w:t>2、</w:t>
      </w:r>
      <w:r>
        <w:rPr>
          <w:rFonts w:hint="eastAsia" w:ascii="仿宋" w:hAnsi="仿宋" w:eastAsia="仿宋" w:cs="仿宋"/>
          <w:color w:val="auto"/>
          <w:sz w:val="28"/>
          <w:szCs w:val="28"/>
          <w:highlight w:val="none"/>
        </w:rPr>
        <w:t>如果发生了不可抗力的事件，任何一方均不对另一方因不能履约或延误履约而遭受的任何损害，成本增加或损失负责。遇到不可抗力事件的一方应采取适当的措施以减少或消除不可抗力事件的影响，并在最短时间内努力重新履行因不可抗力事件而受影响的义务。通过协商，双方应根据不可抗力对合同履行的影响程度，决定是否修改或终止本合同。</w:t>
      </w:r>
    </w:p>
    <w:p w14:paraId="78BD10F2">
      <w:pPr>
        <w:pStyle w:val="19"/>
        <w:keepNext w:val="0"/>
        <w:pageBreakBefore w:val="0"/>
        <w:widowControl w:val="0"/>
        <w:numPr>
          <w:ilvl w:val="0"/>
          <w:numId w:val="0"/>
        </w:numPr>
        <w:tabs>
          <w:tab w:val="left" w:pos="567"/>
        </w:tabs>
        <w:kinsoku/>
        <w:wordWrap/>
        <w:overflowPunct/>
        <w:topLinePunct w:val="0"/>
        <w:bidi w:val="0"/>
        <w:snapToGrid w:val="0"/>
        <w:spacing w:line="360" w:lineRule="auto"/>
        <w:ind w:left="420" w:leftChars="0" w:hanging="420" w:firstLineChars="0"/>
        <w:textAlignment w:val="auto"/>
        <w:rPr>
          <w:rFonts w:hint="eastAsia" w:ascii="仿宋" w:hAnsi="仿宋" w:eastAsia="仿宋" w:cs="仿宋"/>
          <w:b/>
          <w:color w:val="auto"/>
          <w:spacing w:val="20"/>
          <w:sz w:val="28"/>
          <w:szCs w:val="28"/>
          <w:highlight w:val="none"/>
        </w:rPr>
      </w:pPr>
      <w:r>
        <w:rPr>
          <w:rFonts w:hint="eastAsia" w:ascii="仿宋" w:hAnsi="仿宋" w:eastAsia="仿宋" w:cs="仿宋"/>
          <w:b/>
          <w:color w:val="auto"/>
          <w:spacing w:val="20"/>
          <w:kern w:val="2"/>
          <w:sz w:val="28"/>
          <w:szCs w:val="28"/>
          <w:highlight w:val="none"/>
          <w:lang w:val="en-US" w:eastAsia="zh-CN" w:bidi="ar-SA"/>
        </w:rPr>
        <w:t>十八、</w:t>
      </w:r>
      <w:r>
        <w:rPr>
          <w:rFonts w:hint="eastAsia" w:ascii="仿宋" w:hAnsi="仿宋" w:eastAsia="仿宋" w:cs="仿宋"/>
          <w:b/>
          <w:color w:val="auto"/>
          <w:spacing w:val="20"/>
          <w:sz w:val="28"/>
          <w:szCs w:val="28"/>
          <w:highlight w:val="none"/>
        </w:rPr>
        <w:t>合同生效</w:t>
      </w:r>
    </w:p>
    <w:p w14:paraId="08401146">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kern w:val="2"/>
          <w:sz w:val="28"/>
          <w:szCs w:val="28"/>
          <w:highlight w:val="none"/>
          <w:lang w:val="en-US" w:eastAsia="zh-CN" w:bidi="ar-SA"/>
        </w:rPr>
        <w:t>1、</w:t>
      </w:r>
      <w:r>
        <w:rPr>
          <w:rFonts w:hint="eastAsia" w:ascii="仿宋" w:hAnsi="仿宋" w:eastAsia="仿宋" w:cs="仿宋"/>
          <w:color w:val="auto"/>
          <w:sz w:val="28"/>
          <w:szCs w:val="28"/>
          <w:highlight w:val="none"/>
        </w:rPr>
        <w:t>本合同由双方法定代表人或委托代理人签字盖章后立即生效，具有同等法律效力</w:t>
      </w:r>
      <w:r>
        <w:rPr>
          <w:rFonts w:hint="eastAsia" w:ascii="仿宋" w:hAnsi="仿宋" w:eastAsia="仿宋" w:cs="仿宋"/>
          <w:color w:val="auto"/>
          <w:sz w:val="28"/>
          <w:szCs w:val="28"/>
          <w:highlight w:val="none"/>
          <w:lang w:eastAsia="zh-CN"/>
        </w:rPr>
        <w:t>。</w:t>
      </w:r>
    </w:p>
    <w:p w14:paraId="1CE35990">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2"/>
          <w:sz w:val="28"/>
          <w:szCs w:val="28"/>
          <w:highlight w:val="none"/>
          <w:lang w:val="en-US" w:eastAsia="zh-CN" w:bidi="ar-SA"/>
        </w:rPr>
        <w:t>2、</w:t>
      </w:r>
      <w:r>
        <w:rPr>
          <w:rFonts w:hint="eastAsia" w:ascii="仿宋" w:hAnsi="仿宋" w:eastAsia="仿宋" w:cs="仿宋"/>
          <w:color w:val="auto"/>
          <w:sz w:val="28"/>
          <w:szCs w:val="28"/>
          <w:highlight w:val="none"/>
        </w:rPr>
        <w:t>本合同一式</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份，其中甲方</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份、乙方</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份，采购代理机构</w:t>
      </w:r>
      <w:r>
        <w:rPr>
          <w:rFonts w:hint="eastAsia" w:ascii="仿宋" w:hAnsi="仿宋" w:eastAsia="仿宋" w:cs="仿宋"/>
          <w:color w:val="auto"/>
          <w:sz w:val="28"/>
          <w:szCs w:val="28"/>
          <w:highlight w:val="none"/>
          <w:u w:val="single"/>
        </w:rPr>
        <w:t xml:space="preserve"> 壹 </w:t>
      </w:r>
      <w:r>
        <w:rPr>
          <w:rFonts w:hint="eastAsia" w:ascii="仿宋" w:hAnsi="仿宋" w:eastAsia="仿宋" w:cs="仿宋"/>
          <w:color w:val="auto"/>
          <w:sz w:val="28"/>
          <w:szCs w:val="28"/>
          <w:highlight w:val="none"/>
        </w:rPr>
        <w:t>份（须在合同签订之日起5个工作日内递交）</w:t>
      </w:r>
    </w:p>
    <w:p w14:paraId="58EFA674">
      <w:pPr>
        <w:pStyle w:val="19"/>
        <w:keepNext w:val="0"/>
        <w:pageBreakBefore w:val="0"/>
        <w:widowControl w:val="0"/>
        <w:numPr>
          <w:ilvl w:val="0"/>
          <w:numId w:val="0"/>
        </w:numPr>
        <w:tabs>
          <w:tab w:val="left" w:pos="567"/>
        </w:tabs>
        <w:kinsoku/>
        <w:wordWrap/>
        <w:overflowPunct/>
        <w:topLinePunct w:val="0"/>
        <w:bidi w:val="0"/>
        <w:snapToGrid w:val="0"/>
        <w:spacing w:line="360" w:lineRule="auto"/>
        <w:ind w:left="420" w:leftChars="0" w:hanging="420" w:firstLineChars="0"/>
        <w:textAlignment w:val="auto"/>
        <w:rPr>
          <w:rFonts w:hint="eastAsia" w:ascii="仿宋" w:hAnsi="仿宋" w:eastAsia="仿宋" w:cs="仿宋"/>
          <w:b/>
          <w:color w:val="auto"/>
          <w:spacing w:val="20"/>
          <w:sz w:val="28"/>
          <w:szCs w:val="28"/>
          <w:highlight w:val="none"/>
        </w:rPr>
      </w:pPr>
      <w:r>
        <w:rPr>
          <w:rFonts w:hint="eastAsia" w:ascii="仿宋" w:hAnsi="仿宋" w:eastAsia="仿宋" w:cs="仿宋"/>
          <w:b/>
          <w:color w:val="auto"/>
          <w:spacing w:val="20"/>
          <w:kern w:val="2"/>
          <w:sz w:val="28"/>
          <w:szCs w:val="28"/>
          <w:highlight w:val="none"/>
          <w:lang w:val="en-US" w:eastAsia="zh-CN" w:bidi="ar-SA"/>
        </w:rPr>
        <w:t>十九、</w:t>
      </w:r>
      <w:r>
        <w:rPr>
          <w:rFonts w:hint="eastAsia" w:ascii="仿宋" w:hAnsi="仿宋" w:eastAsia="仿宋" w:cs="仿宋"/>
          <w:b/>
          <w:color w:val="auto"/>
          <w:spacing w:val="20"/>
          <w:sz w:val="28"/>
          <w:szCs w:val="28"/>
          <w:highlight w:val="none"/>
        </w:rPr>
        <w:t>其它</w:t>
      </w:r>
    </w:p>
    <w:p w14:paraId="7CD1925E">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kern w:val="2"/>
          <w:sz w:val="28"/>
          <w:szCs w:val="28"/>
          <w:highlight w:val="none"/>
          <w:lang w:val="en-US" w:eastAsia="zh-CN" w:bidi="ar-SA"/>
        </w:rPr>
        <w:t>1、</w:t>
      </w:r>
      <w:r>
        <w:rPr>
          <w:rFonts w:hint="eastAsia" w:ascii="仿宋" w:hAnsi="仿宋" w:eastAsia="仿宋" w:cs="仿宋"/>
          <w:color w:val="auto"/>
          <w:sz w:val="28"/>
          <w:szCs w:val="28"/>
          <w:highlight w:val="none"/>
        </w:rPr>
        <w:t>本合同未尽事宜，双方可签订补充合同，补充合同与所有附件均为合同的有效组成部分，与本合同具有同等法律效力</w:t>
      </w:r>
      <w:r>
        <w:rPr>
          <w:rFonts w:hint="eastAsia" w:ascii="仿宋" w:hAnsi="仿宋" w:eastAsia="仿宋" w:cs="仿宋"/>
          <w:color w:val="auto"/>
          <w:sz w:val="28"/>
          <w:szCs w:val="28"/>
          <w:highlight w:val="none"/>
          <w:lang w:eastAsia="zh-CN"/>
        </w:rPr>
        <w:t>。</w:t>
      </w:r>
    </w:p>
    <w:p w14:paraId="0EE92560">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kern w:val="2"/>
          <w:sz w:val="28"/>
          <w:szCs w:val="28"/>
          <w:highlight w:val="none"/>
          <w:lang w:val="en-US" w:eastAsia="zh-CN" w:bidi="ar-SA"/>
        </w:rPr>
        <w:t>2、</w:t>
      </w:r>
      <w:r>
        <w:rPr>
          <w:rFonts w:hint="eastAsia" w:ascii="仿宋" w:hAnsi="仿宋" w:eastAsia="仿宋" w:cs="仿宋"/>
          <w:color w:val="auto"/>
          <w:sz w:val="28"/>
          <w:szCs w:val="28"/>
          <w:highlight w:val="none"/>
        </w:rPr>
        <w:t>在执行本合同的过程中，所有经甲乙双方签署确认的文件（包括会议纪要、补充协议、往来信函、合同附件等）即成为本合同的有效组成部分，其生效日期为双方签字盖章或确认之日期</w:t>
      </w:r>
      <w:r>
        <w:rPr>
          <w:rFonts w:hint="eastAsia" w:ascii="仿宋" w:hAnsi="仿宋" w:eastAsia="仿宋" w:cs="仿宋"/>
          <w:color w:val="auto"/>
          <w:sz w:val="28"/>
          <w:szCs w:val="28"/>
          <w:highlight w:val="none"/>
          <w:lang w:eastAsia="zh-CN"/>
        </w:rPr>
        <w:t>。</w:t>
      </w:r>
    </w:p>
    <w:p w14:paraId="214B85DB">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2"/>
          <w:sz w:val="28"/>
          <w:szCs w:val="28"/>
          <w:highlight w:val="none"/>
          <w:lang w:val="en-US" w:eastAsia="zh-CN" w:bidi="ar-SA"/>
        </w:rPr>
        <w:t>3、</w:t>
      </w:r>
      <w:r>
        <w:rPr>
          <w:rFonts w:hint="eastAsia" w:ascii="仿宋" w:hAnsi="仿宋" w:eastAsia="仿宋" w:cs="仿宋"/>
          <w:color w:val="auto"/>
          <w:sz w:val="28"/>
          <w:szCs w:val="28"/>
          <w:highlight w:val="none"/>
        </w:rPr>
        <w:t>本合同合计</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页A4纸张，缺页之合同为无效合同。</w:t>
      </w:r>
    </w:p>
    <w:p w14:paraId="034B9BE4">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双方确认本合同所载联系信息（电话、地址）为有效送达信息，可作为司法送达地址，司法机关或合同任意一方向该地址邮寄文书，已签收的以签收时间为送达时间，拒收、无法送达的，自邮件退件到达之日视为送达。地址如有变更，应当提前5日书面通知对方，否则仍以原地址为准，因未及时变更导致送达不能的后果由变更方自行承担。</w:t>
      </w:r>
    </w:p>
    <w:p w14:paraId="695ADBF4">
      <w:pPr>
        <w:rPr>
          <w:rFonts w:hint="default"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附件1：《食材配送品目清单》</w:t>
      </w:r>
    </w:p>
    <w:p w14:paraId="5DB4FEB9">
      <w:pP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lang w:val="en-US" w:eastAsia="zh-CN"/>
        </w:rPr>
        <w:t>附件2：《食材配送考核表》</w:t>
      </w:r>
    </w:p>
    <w:p w14:paraId="039CEC4E">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(以下无正文）</w:t>
      </w:r>
    </w:p>
    <w:tbl>
      <w:tblPr>
        <w:tblStyle w:val="1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530"/>
        <w:gridCol w:w="4531"/>
      </w:tblGrid>
      <w:tr w14:paraId="364F5C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00" w:type="pct"/>
          </w:tcPr>
          <w:p w14:paraId="362231CC">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甲方（盖章）：</w:t>
            </w:r>
          </w:p>
        </w:tc>
        <w:tc>
          <w:tcPr>
            <w:tcW w:w="2500" w:type="pct"/>
          </w:tcPr>
          <w:p w14:paraId="58DD2132">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乙方(盖章)：</w:t>
            </w:r>
          </w:p>
        </w:tc>
      </w:tr>
      <w:tr w14:paraId="598EE2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00" w:type="pct"/>
          </w:tcPr>
          <w:p w14:paraId="1DAD8B54">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甲方代表人(签字)：</w:t>
            </w:r>
          </w:p>
        </w:tc>
        <w:tc>
          <w:tcPr>
            <w:tcW w:w="2500" w:type="pct"/>
          </w:tcPr>
          <w:p w14:paraId="25C6E012">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乙方代表人(签字)：</w:t>
            </w:r>
          </w:p>
        </w:tc>
      </w:tr>
      <w:tr w14:paraId="5ABFB5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00" w:type="pct"/>
          </w:tcPr>
          <w:p w14:paraId="598548A0">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签字日期：</w:t>
            </w:r>
          </w:p>
        </w:tc>
        <w:tc>
          <w:tcPr>
            <w:tcW w:w="2500" w:type="pct"/>
          </w:tcPr>
          <w:p w14:paraId="69401703">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签字日期：</w:t>
            </w:r>
          </w:p>
        </w:tc>
      </w:tr>
      <w:tr w14:paraId="472118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00" w:type="pct"/>
          </w:tcPr>
          <w:p w14:paraId="07AB0F57">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地址：</w:t>
            </w:r>
          </w:p>
        </w:tc>
        <w:tc>
          <w:tcPr>
            <w:tcW w:w="2500" w:type="pct"/>
          </w:tcPr>
          <w:p w14:paraId="4878389F">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地址：</w:t>
            </w:r>
          </w:p>
        </w:tc>
      </w:tr>
      <w:tr w14:paraId="1E8BEA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00" w:type="pct"/>
          </w:tcPr>
          <w:p w14:paraId="5BB7F5E5">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电话：</w:t>
            </w:r>
          </w:p>
        </w:tc>
        <w:tc>
          <w:tcPr>
            <w:tcW w:w="2500" w:type="pct"/>
          </w:tcPr>
          <w:p w14:paraId="3B614B20">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电话：</w:t>
            </w:r>
          </w:p>
        </w:tc>
      </w:tr>
      <w:tr w14:paraId="371D9B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00" w:type="pct"/>
          </w:tcPr>
          <w:p w14:paraId="78BFAFC7">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传真：</w:t>
            </w:r>
          </w:p>
        </w:tc>
        <w:tc>
          <w:tcPr>
            <w:tcW w:w="2500" w:type="pct"/>
          </w:tcPr>
          <w:p w14:paraId="6CC75BE7">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传真：</w:t>
            </w:r>
          </w:p>
        </w:tc>
      </w:tr>
      <w:tr w14:paraId="217B4F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00" w:type="pct"/>
          </w:tcPr>
          <w:p w14:paraId="05E0EE89">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开户银行：</w:t>
            </w:r>
          </w:p>
        </w:tc>
        <w:tc>
          <w:tcPr>
            <w:tcW w:w="2500" w:type="pct"/>
          </w:tcPr>
          <w:p w14:paraId="212B9EE4">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开户银行：</w:t>
            </w:r>
          </w:p>
        </w:tc>
      </w:tr>
      <w:tr w14:paraId="20C23E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00" w:type="pct"/>
          </w:tcPr>
          <w:p w14:paraId="129BE321">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银行账户：</w:t>
            </w:r>
          </w:p>
        </w:tc>
        <w:tc>
          <w:tcPr>
            <w:tcW w:w="2500" w:type="pct"/>
          </w:tcPr>
          <w:p w14:paraId="01652828">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银行账户：</w:t>
            </w:r>
          </w:p>
        </w:tc>
      </w:tr>
    </w:tbl>
    <w:p w14:paraId="7A4052E8">
      <w:pPr>
        <w:rPr>
          <w:rFonts w:hint="eastAsia" w:ascii="仿宋" w:hAnsi="仿宋" w:eastAsia="仿宋" w:cs="仿宋"/>
          <w:b/>
          <w:color w:val="auto"/>
          <w:sz w:val="28"/>
          <w:szCs w:val="28"/>
          <w:highlight w:val="none"/>
        </w:rPr>
        <w:sectPr>
          <w:headerReference r:id="rId3" w:type="default"/>
          <w:footerReference r:id="rId4" w:type="default"/>
          <w:pgSz w:w="11907" w:h="16840"/>
          <w:pgMar w:top="1559" w:right="1531" w:bottom="1712" w:left="1531" w:header="1089" w:footer="725" w:gutter="0"/>
          <w:pgNumType w:fmt="decimal"/>
          <w:cols w:space="720" w:num="1"/>
          <w:docGrid w:linePitch="523" w:charSpace="0"/>
        </w:sectPr>
      </w:pPr>
    </w:p>
    <w:p w14:paraId="3DE34FAC">
      <w:pPr>
        <w:keepLines/>
        <w:spacing w:line="360" w:lineRule="auto"/>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lang w:val="en-US" w:eastAsia="zh-CN"/>
        </w:rPr>
        <w:t>适用于采购包2</w:t>
      </w:r>
    </w:p>
    <w:p w14:paraId="5707F2AA">
      <w:pPr>
        <w:keepNext w:val="0"/>
        <w:keepLines/>
        <w:pageBreakBefore w:val="0"/>
        <w:widowControl w:val="0"/>
        <w:kinsoku/>
        <w:wordWrap/>
        <w:overflowPunct/>
        <w:topLinePunct w:val="0"/>
        <w:bidi w:val="0"/>
        <w:snapToGrid w:val="0"/>
        <w:spacing w:line="360" w:lineRule="auto"/>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甲方（采购人）：</w:t>
      </w:r>
      <w:r>
        <w:rPr>
          <w:rFonts w:hint="eastAsia" w:ascii="仿宋" w:hAnsi="仿宋" w:eastAsia="仿宋" w:cs="仿宋"/>
          <w:color w:val="auto"/>
          <w:sz w:val="28"/>
          <w:szCs w:val="28"/>
          <w:highlight w:val="none"/>
          <w:u w:val="single"/>
        </w:rPr>
        <w:t>东莞市常平镇中心小学</w:t>
      </w:r>
    </w:p>
    <w:p w14:paraId="6908FA2A">
      <w:pPr>
        <w:keepNext w:val="0"/>
        <w:pageBreakBefore w:val="0"/>
        <w:widowControl w:val="0"/>
        <w:kinsoku/>
        <w:wordWrap/>
        <w:overflowPunct/>
        <w:topLinePunct w:val="0"/>
        <w:bidi w:val="0"/>
        <w:snapToGrid w:val="0"/>
        <w:spacing w:line="360" w:lineRule="auto"/>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乙方（中标人）：</w:t>
      </w:r>
      <w:r>
        <w:rPr>
          <w:rFonts w:hint="eastAsia" w:ascii="仿宋" w:hAnsi="仿宋" w:eastAsia="仿宋" w:cs="仿宋"/>
          <w:color w:val="auto"/>
          <w:sz w:val="28"/>
          <w:szCs w:val="28"/>
          <w:highlight w:val="none"/>
          <w:u w:val="single"/>
        </w:rPr>
        <w:t xml:space="preserve">                    </w:t>
      </w:r>
    </w:p>
    <w:p w14:paraId="109270C1">
      <w:pPr>
        <w:keepNext w:val="0"/>
        <w:pageBreakBefore w:val="0"/>
        <w:widowControl w:val="0"/>
        <w:kinsoku/>
        <w:wordWrap/>
        <w:overflowPunct/>
        <w:topLinePunct w:val="0"/>
        <w:bidi w:val="0"/>
        <w:snapToGrid w:val="0"/>
        <w:spacing w:line="360" w:lineRule="auto"/>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根据《中华人民共和国民法典》及招标文件、中标通知书等相关资料的要求，经双方协商一致，签订本合同，共同遵守如下条款。</w:t>
      </w:r>
    </w:p>
    <w:p w14:paraId="36953F5E">
      <w:pPr>
        <w:pStyle w:val="19"/>
        <w:keepNext w:val="0"/>
        <w:pageBreakBefore w:val="0"/>
        <w:widowControl w:val="0"/>
        <w:numPr>
          <w:ilvl w:val="0"/>
          <w:numId w:val="0"/>
        </w:numPr>
        <w:kinsoku/>
        <w:wordWrap/>
        <w:overflowPunct/>
        <w:topLinePunct w:val="0"/>
        <w:bidi w:val="0"/>
        <w:snapToGrid w:val="0"/>
        <w:spacing w:line="360" w:lineRule="auto"/>
        <w:ind w:left="420" w:leftChars="0" w:hanging="420" w:firstLineChars="0"/>
        <w:textAlignment w:val="auto"/>
        <w:rPr>
          <w:rFonts w:hint="eastAsia" w:ascii="仿宋" w:hAnsi="仿宋" w:eastAsia="仿宋" w:cs="仿宋"/>
          <w:b/>
          <w:bCs/>
          <w:color w:val="auto"/>
          <w:spacing w:val="20"/>
          <w:sz w:val="28"/>
          <w:szCs w:val="28"/>
          <w:highlight w:val="none"/>
        </w:rPr>
      </w:pPr>
      <w:r>
        <w:rPr>
          <w:rFonts w:hint="eastAsia" w:ascii="仿宋" w:hAnsi="仿宋" w:eastAsia="仿宋" w:cs="仿宋"/>
          <w:b/>
          <w:bCs/>
          <w:color w:val="auto"/>
          <w:spacing w:val="20"/>
          <w:kern w:val="2"/>
          <w:sz w:val="28"/>
          <w:szCs w:val="28"/>
          <w:highlight w:val="none"/>
          <w:lang w:val="en-US" w:eastAsia="zh-CN" w:bidi="ar-SA"/>
        </w:rPr>
        <w:t>一、</w:t>
      </w:r>
      <w:r>
        <w:rPr>
          <w:rFonts w:hint="eastAsia" w:ascii="仿宋" w:hAnsi="仿宋" w:eastAsia="仿宋" w:cs="仿宋"/>
          <w:b/>
          <w:color w:val="auto"/>
          <w:spacing w:val="20"/>
          <w:sz w:val="28"/>
          <w:szCs w:val="28"/>
          <w:highlight w:val="none"/>
        </w:rPr>
        <w:t>合同项目</w:t>
      </w:r>
    </w:p>
    <w:p w14:paraId="05CF338F">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2"/>
          <w:sz w:val="28"/>
          <w:szCs w:val="28"/>
          <w:highlight w:val="none"/>
          <w:lang w:val="en-US" w:eastAsia="zh-CN" w:bidi="ar-SA"/>
        </w:rPr>
        <w:t>1、</w:t>
      </w:r>
      <w:r>
        <w:rPr>
          <w:rFonts w:hint="eastAsia" w:ascii="仿宋" w:hAnsi="仿宋" w:eastAsia="仿宋" w:cs="仿宋"/>
          <w:color w:val="auto"/>
          <w:sz w:val="28"/>
          <w:szCs w:val="28"/>
          <w:highlight w:val="none"/>
        </w:rPr>
        <w:t>项目名称：</w:t>
      </w:r>
      <w:r>
        <w:rPr>
          <w:rFonts w:hint="eastAsia" w:ascii="仿宋" w:hAnsi="仿宋" w:eastAsia="仿宋" w:cs="仿宋"/>
          <w:color w:val="auto"/>
          <w:sz w:val="28"/>
          <w:szCs w:val="28"/>
          <w:highlight w:val="none"/>
          <w:u w:val="single"/>
        </w:rPr>
        <w:t>东莞市常平镇中心小学食堂食材采购项目</w:t>
      </w:r>
    </w:p>
    <w:p w14:paraId="1EAE35C8">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kern w:val="2"/>
          <w:sz w:val="28"/>
          <w:szCs w:val="28"/>
          <w:highlight w:val="none"/>
          <w:lang w:val="en-US" w:eastAsia="zh-CN" w:bidi="ar-SA"/>
        </w:rPr>
        <w:t>2、</w:t>
      </w:r>
      <w:r>
        <w:rPr>
          <w:rFonts w:hint="eastAsia" w:ascii="仿宋" w:hAnsi="仿宋" w:eastAsia="仿宋" w:cs="仿宋"/>
          <w:color w:val="auto"/>
          <w:sz w:val="28"/>
          <w:szCs w:val="28"/>
          <w:highlight w:val="none"/>
        </w:rPr>
        <w:t>项目编号：</w:t>
      </w:r>
      <w:r>
        <w:rPr>
          <w:rFonts w:hint="eastAsia" w:ascii="仿宋" w:hAnsi="仿宋" w:eastAsia="仿宋" w:cs="仿宋"/>
          <w:color w:val="auto"/>
          <w:sz w:val="28"/>
          <w:szCs w:val="28"/>
          <w:highlight w:val="none"/>
          <w:u w:val="single"/>
        </w:rPr>
        <w:t>DSZB25DG005C</w:t>
      </w:r>
    </w:p>
    <w:p w14:paraId="605F3E37">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none"/>
          <w:lang w:val="en-US" w:eastAsia="zh-CN"/>
        </w:rPr>
        <w:t>3、采购包号：</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en-US" w:eastAsia="zh-CN"/>
        </w:rPr>
        <w:t>2</w:t>
      </w:r>
      <w:r>
        <w:rPr>
          <w:rFonts w:hint="eastAsia" w:ascii="仿宋" w:hAnsi="仿宋" w:eastAsia="仿宋" w:cs="仿宋"/>
          <w:color w:val="auto"/>
          <w:sz w:val="28"/>
          <w:szCs w:val="28"/>
          <w:highlight w:val="none"/>
          <w:u w:val="single"/>
        </w:rPr>
        <w:t xml:space="preserve"> </w:t>
      </w:r>
    </w:p>
    <w:p w14:paraId="54536B84">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default" w:ascii="仿宋" w:hAnsi="仿宋" w:eastAsia="仿宋" w:cs="仿宋"/>
          <w:color w:val="auto"/>
          <w:sz w:val="28"/>
          <w:szCs w:val="28"/>
          <w:highlight w:val="none"/>
          <w:u w:val="none"/>
          <w:lang w:val="en-US" w:eastAsia="zh-CN"/>
        </w:rPr>
      </w:pPr>
      <w:r>
        <w:rPr>
          <w:rFonts w:hint="default" w:ascii="仿宋" w:hAnsi="仿宋" w:eastAsia="仿宋" w:cs="仿宋"/>
          <w:color w:val="auto"/>
          <w:sz w:val="28"/>
          <w:szCs w:val="28"/>
          <w:highlight w:val="none"/>
          <w:u w:val="none"/>
          <w:lang w:val="en-US" w:eastAsia="zh-CN"/>
        </w:rPr>
        <w:t>4、中标（成交）通知书、投标文件、招标文件（含招标文件澄清通知）等均属于本合同的组成部分。</w:t>
      </w:r>
    </w:p>
    <w:p w14:paraId="5FFC272E">
      <w:pPr>
        <w:pStyle w:val="19"/>
        <w:keepNext w:val="0"/>
        <w:pageBreakBefore w:val="0"/>
        <w:widowControl w:val="0"/>
        <w:numPr>
          <w:ilvl w:val="0"/>
          <w:numId w:val="0"/>
        </w:numPr>
        <w:kinsoku/>
        <w:wordWrap/>
        <w:overflowPunct/>
        <w:topLinePunct w:val="0"/>
        <w:bidi w:val="0"/>
        <w:snapToGrid w:val="0"/>
        <w:spacing w:line="360" w:lineRule="auto"/>
        <w:ind w:left="420" w:leftChars="0" w:hanging="420" w:firstLineChars="0"/>
        <w:textAlignment w:val="auto"/>
        <w:rPr>
          <w:rFonts w:hint="eastAsia" w:ascii="仿宋" w:hAnsi="仿宋" w:eastAsia="仿宋" w:cs="仿宋"/>
          <w:b/>
          <w:color w:val="auto"/>
          <w:spacing w:val="20"/>
          <w:sz w:val="28"/>
          <w:szCs w:val="28"/>
          <w:highlight w:val="none"/>
        </w:rPr>
      </w:pPr>
      <w:r>
        <w:rPr>
          <w:rFonts w:hint="eastAsia" w:ascii="仿宋" w:hAnsi="仿宋" w:eastAsia="仿宋" w:cs="仿宋"/>
          <w:b/>
          <w:color w:val="auto"/>
          <w:spacing w:val="20"/>
          <w:kern w:val="2"/>
          <w:sz w:val="28"/>
          <w:szCs w:val="28"/>
          <w:highlight w:val="none"/>
          <w:lang w:val="en-US" w:eastAsia="zh-CN" w:bidi="ar-SA"/>
        </w:rPr>
        <w:t>二、</w:t>
      </w:r>
      <w:r>
        <w:rPr>
          <w:rFonts w:hint="eastAsia" w:ascii="仿宋" w:hAnsi="仿宋" w:eastAsia="仿宋" w:cs="仿宋"/>
          <w:b/>
          <w:color w:val="auto"/>
          <w:spacing w:val="20"/>
          <w:sz w:val="28"/>
          <w:szCs w:val="28"/>
          <w:highlight w:val="none"/>
        </w:rPr>
        <w:t>项目概况</w:t>
      </w:r>
    </w:p>
    <w:p w14:paraId="5FD9CAA9">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2"/>
          <w:sz w:val="28"/>
          <w:szCs w:val="28"/>
          <w:highlight w:val="none"/>
          <w:lang w:val="en-US" w:eastAsia="zh-CN" w:bidi="ar-SA"/>
        </w:rPr>
        <w:t>1、</w:t>
      </w:r>
      <w:r>
        <w:rPr>
          <w:rFonts w:hint="eastAsia" w:ascii="仿宋" w:hAnsi="仿宋" w:eastAsia="仿宋" w:cs="仿宋"/>
          <w:color w:val="auto"/>
          <w:sz w:val="28"/>
          <w:szCs w:val="28"/>
          <w:highlight w:val="none"/>
        </w:rPr>
        <w:t>项目概况：</w:t>
      </w:r>
      <w:r>
        <w:rPr>
          <w:rFonts w:hint="eastAsia" w:ascii="仿宋" w:hAnsi="仿宋" w:eastAsia="仿宋" w:cs="仿宋"/>
          <w:color w:val="auto"/>
          <w:sz w:val="28"/>
          <w:szCs w:val="28"/>
          <w:highlight w:val="none"/>
          <w:u w:val="single"/>
          <w:lang w:val="en-US" w:eastAsia="zh-CN"/>
        </w:rPr>
        <w:t>甲方</w:t>
      </w:r>
      <w:r>
        <w:rPr>
          <w:rFonts w:hint="eastAsia" w:ascii="仿宋" w:hAnsi="仿宋" w:eastAsia="仿宋" w:cs="仿宋"/>
          <w:color w:val="auto"/>
          <w:sz w:val="28"/>
          <w:szCs w:val="28"/>
          <w:highlight w:val="none"/>
          <w:u w:val="single"/>
        </w:rPr>
        <w:t>通过公开招标方式确定</w:t>
      </w:r>
      <w:r>
        <w:rPr>
          <w:rFonts w:hint="eastAsia" w:ascii="仿宋" w:hAnsi="仿宋" w:eastAsia="仿宋" w:cs="仿宋"/>
          <w:color w:val="auto"/>
          <w:sz w:val="28"/>
          <w:szCs w:val="28"/>
          <w:highlight w:val="none"/>
          <w:u w:val="single"/>
          <w:lang w:val="en-US" w:eastAsia="zh-CN"/>
        </w:rPr>
        <w:t>乙方</w:t>
      </w:r>
      <w:r>
        <w:rPr>
          <w:rFonts w:hint="eastAsia" w:ascii="仿宋" w:hAnsi="仿宋" w:eastAsia="仿宋" w:cs="仿宋"/>
          <w:color w:val="auto"/>
          <w:sz w:val="28"/>
          <w:szCs w:val="28"/>
          <w:highlight w:val="none"/>
          <w:u w:val="single"/>
        </w:rPr>
        <w:t>为东莞市常平镇中心小学</w:t>
      </w:r>
      <w:r>
        <w:rPr>
          <w:rFonts w:hint="eastAsia" w:ascii="仿宋" w:hAnsi="仿宋" w:eastAsia="仿宋" w:cs="仿宋"/>
          <w:color w:val="auto"/>
          <w:sz w:val="28"/>
          <w:szCs w:val="28"/>
          <w:highlight w:val="none"/>
          <w:u w:val="single"/>
          <w:lang w:val="en-US" w:eastAsia="zh-CN"/>
        </w:rPr>
        <w:t>提供</w:t>
      </w:r>
      <w:r>
        <w:rPr>
          <w:rFonts w:hint="eastAsia" w:ascii="仿宋" w:hAnsi="仿宋" w:eastAsia="仿宋" w:cs="仿宋"/>
          <w:color w:val="auto"/>
          <w:sz w:val="28"/>
          <w:szCs w:val="28"/>
          <w:highlight w:val="none"/>
          <w:u w:val="single"/>
          <w:lang w:eastAsia="zh-CN"/>
        </w:rPr>
        <w:t>干货调料、包点、蛋品及冰鲜类食材配送服务</w:t>
      </w:r>
      <w:r>
        <w:rPr>
          <w:rFonts w:hint="eastAsia" w:ascii="仿宋" w:hAnsi="仿宋" w:eastAsia="仿宋" w:cs="仿宋"/>
          <w:color w:val="auto"/>
          <w:sz w:val="28"/>
          <w:szCs w:val="28"/>
          <w:highlight w:val="none"/>
          <w:u w:val="single"/>
        </w:rPr>
        <w:t>。</w:t>
      </w:r>
    </w:p>
    <w:p w14:paraId="77DD1F40">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kern w:val="2"/>
          <w:sz w:val="28"/>
          <w:szCs w:val="28"/>
          <w:highlight w:val="none"/>
          <w:lang w:val="en-US" w:eastAsia="zh-CN" w:bidi="ar-SA"/>
        </w:rPr>
        <w:t>2、</w:t>
      </w:r>
      <w:r>
        <w:rPr>
          <w:rFonts w:hint="eastAsia" w:ascii="仿宋" w:hAnsi="仿宋" w:eastAsia="仿宋" w:cs="仿宋"/>
          <w:color w:val="auto"/>
          <w:sz w:val="28"/>
          <w:szCs w:val="28"/>
          <w:highlight w:val="none"/>
        </w:rPr>
        <w:t>服务范围及内容：</w:t>
      </w:r>
      <w:r>
        <w:rPr>
          <w:rFonts w:hint="eastAsia" w:ascii="仿宋" w:hAnsi="仿宋" w:eastAsia="仿宋" w:cs="仿宋"/>
          <w:color w:val="auto"/>
          <w:sz w:val="28"/>
          <w:szCs w:val="28"/>
          <w:highlight w:val="none"/>
          <w:u w:val="single"/>
          <w:lang w:val="en-US" w:eastAsia="zh-CN"/>
        </w:rPr>
        <w:t>乙方</w:t>
      </w:r>
      <w:r>
        <w:rPr>
          <w:rFonts w:hint="eastAsia" w:ascii="仿宋" w:hAnsi="仿宋" w:eastAsia="仿宋" w:cs="仿宋"/>
          <w:color w:val="auto"/>
          <w:sz w:val="28"/>
          <w:szCs w:val="28"/>
          <w:highlight w:val="none"/>
          <w:u w:val="single"/>
        </w:rPr>
        <w:t>为</w:t>
      </w:r>
      <w:r>
        <w:rPr>
          <w:rFonts w:hint="eastAsia" w:ascii="仿宋" w:hAnsi="仿宋" w:eastAsia="仿宋" w:cs="仿宋"/>
          <w:color w:val="auto"/>
          <w:sz w:val="28"/>
          <w:szCs w:val="28"/>
          <w:highlight w:val="none"/>
          <w:u w:val="single"/>
          <w:lang w:val="en-US" w:eastAsia="zh-CN"/>
        </w:rPr>
        <w:t>甲方</w:t>
      </w:r>
      <w:r>
        <w:rPr>
          <w:rFonts w:hint="eastAsia" w:ascii="仿宋" w:hAnsi="仿宋" w:eastAsia="仿宋" w:cs="仿宋"/>
          <w:color w:val="auto"/>
          <w:sz w:val="28"/>
          <w:szCs w:val="28"/>
          <w:highlight w:val="none"/>
          <w:u w:val="single"/>
        </w:rPr>
        <w:t>供应干货调料、包点、蛋品及冰鲜类</w:t>
      </w:r>
      <w:r>
        <w:rPr>
          <w:rFonts w:hint="eastAsia" w:ascii="仿宋" w:hAnsi="仿宋" w:eastAsia="仿宋" w:cs="仿宋"/>
          <w:color w:val="auto"/>
          <w:sz w:val="28"/>
          <w:szCs w:val="28"/>
          <w:highlight w:val="none"/>
          <w:u w:val="single"/>
          <w:lang w:val="en-US" w:eastAsia="zh-CN"/>
        </w:rPr>
        <w:t>食材</w:t>
      </w:r>
      <w:r>
        <w:rPr>
          <w:rFonts w:hint="eastAsia" w:ascii="仿宋" w:hAnsi="仿宋" w:eastAsia="仿宋" w:cs="仿宋"/>
          <w:color w:val="auto"/>
          <w:sz w:val="28"/>
          <w:szCs w:val="28"/>
          <w:highlight w:val="none"/>
          <w:u w:val="single"/>
        </w:rPr>
        <w:t>，供货品种</w:t>
      </w:r>
      <w:r>
        <w:rPr>
          <w:rFonts w:hint="eastAsia" w:ascii="仿宋" w:hAnsi="仿宋" w:eastAsia="仿宋" w:cs="仿宋"/>
          <w:color w:val="auto"/>
          <w:sz w:val="28"/>
          <w:szCs w:val="28"/>
          <w:highlight w:val="none"/>
          <w:u w:val="single"/>
          <w:lang w:val="en-US" w:eastAsia="zh-CN"/>
        </w:rPr>
        <w:t>详见合同附件1：《食材配送品目清单》</w:t>
      </w:r>
      <w:r>
        <w:rPr>
          <w:rFonts w:hint="eastAsia" w:ascii="仿宋" w:hAnsi="仿宋" w:eastAsia="仿宋" w:cs="仿宋"/>
          <w:color w:val="auto"/>
          <w:sz w:val="28"/>
          <w:szCs w:val="28"/>
          <w:highlight w:val="none"/>
          <w:u w:val="single"/>
        </w:rPr>
        <w:t>。</w:t>
      </w:r>
      <w:r>
        <w:rPr>
          <w:rFonts w:hint="eastAsia" w:ascii="仿宋" w:hAnsi="仿宋" w:eastAsia="仿宋" w:cs="仿宋"/>
          <w:color w:val="auto"/>
          <w:sz w:val="28"/>
          <w:szCs w:val="28"/>
          <w:highlight w:val="none"/>
          <w:u w:val="single"/>
          <w:lang w:val="en-US" w:eastAsia="zh-CN"/>
        </w:rPr>
        <w:t>乙方</w:t>
      </w:r>
      <w:r>
        <w:rPr>
          <w:rFonts w:hint="eastAsia" w:ascii="仿宋" w:hAnsi="仿宋" w:eastAsia="仿宋" w:cs="仿宋"/>
          <w:color w:val="auto"/>
          <w:sz w:val="28"/>
          <w:szCs w:val="28"/>
          <w:highlight w:val="none"/>
          <w:u w:val="single"/>
        </w:rPr>
        <w:t>供应上述种类的全部，所供应的货品必须安全卫生，量足价平，并提供有完善的售后服务。</w:t>
      </w:r>
    </w:p>
    <w:p w14:paraId="0105645B">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default"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u w:val="none"/>
          <w:lang w:val="en-US" w:eastAsia="zh-CN"/>
        </w:rPr>
        <w:t>3、服务地点：</w:t>
      </w:r>
      <w:r>
        <w:rPr>
          <w:rFonts w:hint="eastAsia" w:ascii="仿宋" w:hAnsi="仿宋" w:eastAsia="仿宋" w:cs="仿宋"/>
          <w:color w:val="auto"/>
          <w:sz w:val="28"/>
          <w:szCs w:val="28"/>
          <w:highlight w:val="none"/>
          <w:u w:val="single"/>
          <w:lang w:val="en-US" w:eastAsia="zh-CN"/>
        </w:rPr>
        <w:t>东莞市常平镇或甲方指定的地点。</w:t>
      </w:r>
    </w:p>
    <w:p w14:paraId="51D3E8CB">
      <w:pPr>
        <w:pStyle w:val="19"/>
        <w:keepNext w:val="0"/>
        <w:pageBreakBefore w:val="0"/>
        <w:widowControl w:val="0"/>
        <w:numPr>
          <w:ilvl w:val="0"/>
          <w:numId w:val="0"/>
        </w:numPr>
        <w:kinsoku/>
        <w:wordWrap/>
        <w:overflowPunct/>
        <w:topLinePunct w:val="0"/>
        <w:bidi w:val="0"/>
        <w:snapToGrid w:val="0"/>
        <w:spacing w:line="360" w:lineRule="auto"/>
        <w:ind w:left="420" w:leftChars="0" w:hanging="420" w:firstLineChars="0"/>
        <w:textAlignment w:val="auto"/>
        <w:rPr>
          <w:rFonts w:hint="eastAsia" w:ascii="仿宋" w:hAnsi="仿宋" w:eastAsia="仿宋" w:cs="仿宋"/>
          <w:b/>
          <w:color w:val="auto"/>
          <w:spacing w:val="20"/>
          <w:sz w:val="28"/>
          <w:szCs w:val="28"/>
          <w:highlight w:val="none"/>
        </w:rPr>
      </w:pPr>
      <w:r>
        <w:rPr>
          <w:rFonts w:hint="eastAsia" w:ascii="仿宋" w:hAnsi="仿宋" w:eastAsia="仿宋" w:cs="仿宋"/>
          <w:b/>
          <w:color w:val="auto"/>
          <w:spacing w:val="20"/>
          <w:kern w:val="2"/>
          <w:sz w:val="28"/>
          <w:szCs w:val="28"/>
          <w:highlight w:val="none"/>
          <w:lang w:val="en-US" w:eastAsia="zh-CN" w:bidi="ar-SA"/>
        </w:rPr>
        <w:t>三、</w:t>
      </w:r>
      <w:r>
        <w:rPr>
          <w:rFonts w:hint="eastAsia" w:ascii="仿宋" w:hAnsi="仿宋" w:eastAsia="仿宋" w:cs="仿宋"/>
          <w:b/>
          <w:color w:val="auto"/>
          <w:spacing w:val="20"/>
          <w:sz w:val="28"/>
          <w:szCs w:val="28"/>
          <w:highlight w:val="none"/>
        </w:rPr>
        <w:t>总体要求</w:t>
      </w:r>
    </w:p>
    <w:p w14:paraId="3701B979">
      <w:pPr>
        <w:pStyle w:val="19"/>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left="0" w:leftChars="0"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2"/>
          <w:sz w:val="28"/>
          <w:szCs w:val="28"/>
          <w:highlight w:val="none"/>
          <w:lang w:val="en-US" w:eastAsia="zh-CN" w:bidi="ar-SA"/>
        </w:rPr>
        <w:t>1、</w:t>
      </w:r>
      <w:r>
        <w:rPr>
          <w:rFonts w:hint="eastAsia" w:ascii="仿宋" w:hAnsi="仿宋" w:eastAsia="仿宋" w:cs="仿宋"/>
          <w:color w:val="auto"/>
          <w:sz w:val="28"/>
          <w:szCs w:val="28"/>
          <w:highlight w:val="none"/>
        </w:rPr>
        <w:t>甲方权利和义务</w:t>
      </w:r>
    </w:p>
    <w:p w14:paraId="1C5FB101">
      <w:pPr>
        <w:pStyle w:val="19"/>
        <w:keepNext w:val="0"/>
        <w:keepLines w:val="0"/>
        <w:pageBreakBefore w:val="0"/>
        <w:widowControl w:val="0"/>
        <w:numPr>
          <w:ilvl w:val="0"/>
          <w:numId w:val="0"/>
        </w:numPr>
        <w:tabs>
          <w:tab w:val="left" w:pos="108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（1）甲方享有监督权及建议权，可随时检查乙方的服务履行情况，并向乙方提出整改意见。</w:t>
      </w:r>
    </w:p>
    <w:p w14:paraId="3A2FCD38">
      <w:pPr>
        <w:pStyle w:val="19"/>
        <w:keepNext w:val="0"/>
        <w:keepLines w:val="0"/>
        <w:pageBreakBefore w:val="0"/>
        <w:widowControl w:val="0"/>
        <w:numPr>
          <w:ilvl w:val="0"/>
          <w:numId w:val="0"/>
        </w:numPr>
        <w:tabs>
          <w:tab w:val="left" w:pos="108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2）当乙方发生服务违约时，则甲方有权按约定要求乙方承担违约责任，涉及损害赔偿、违约金支付的，甲方有权优先从应在支付乙方合同款项中进行扣除，应付款项不足以扣除的，甲方有权从履约保证金中扣除或自履约保函中提取相应金额，仍不足以覆盖的，甲方有权要求乙方另行支付。</w:t>
      </w:r>
    </w:p>
    <w:p w14:paraId="5B8A1A50">
      <w:pPr>
        <w:pStyle w:val="19"/>
        <w:keepNext w:val="0"/>
        <w:keepLines w:val="0"/>
        <w:pageBreakBefore w:val="0"/>
        <w:widowControl w:val="0"/>
        <w:numPr>
          <w:ilvl w:val="0"/>
          <w:numId w:val="0"/>
        </w:numPr>
        <w:tabs>
          <w:tab w:val="left" w:pos="108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（3）在乙方提供服务时，如对甲方或甲方人员造成了财物损坏、人身伤害的，甲方有权要求乙方赔偿。</w:t>
      </w:r>
    </w:p>
    <w:p w14:paraId="33F792EE">
      <w:pPr>
        <w:pStyle w:val="19"/>
        <w:keepNext w:val="0"/>
        <w:keepLines w:val="0"/>
        <w:pageBreakBefore w:val="0"/>
        <w:widowControl w:val="0"/>
        <w:numPr>
          <w:ilvl w:val="0"/>
          <w:numId w:val="0"/>
        </w:numPr>
        <w:tabs>
          <w:tab w:val="left" w:pos="108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2"/>
          <w:sz w:val="28"/>
          <w:szCs w:val="28"/>
          <w:highlight w:val="none"/>
          <w:lang w:val="en-US" w:eastAsia="zh-CN" w:bidi="ar-SA"/>
        </w:rPr>
        <w:t>（4）甲方应按合同规定向乙方支付服务费用。</w:t>
      </w:r>
    </w:p>
    <w:p w14:paraId="10262FDC">
      <w:pPr>
        <w:pStyle w:val="19"/>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left="0" w:leftChars="0"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2"/>
          <w:sz w:val="28"/>
          <w:szCs w:val="28"/>
          <w:highlight w:val="none"/>
          <w:lang w:val="en-US" w:eastAsia="zh-CN" w:bidi="ar-SA"/>
        </w:rPr>
        <w:t>2、</w:t>
      </w:r>
      <w:r>
        <w:rPr>
          <w:rFonts w:hint="eastAsia" w:ascii="仿宋" w:hAnsi="仿宋" w:eastAsia="仿宋" w:cs="仿宋"/>
          <w:color w:val="auto"/>
          <w:sz w:val="28"/>
          <w:szCs w:val="28"/>
          <w:highlight w:val="none"/>
        </w:rPr>
        <w:t>乙方权利和义务</w:t>
      </w:r>
    </w:p>
    <w:p w14:paraId="352FCB11">
      <w:pPr>
        <w:pStyle w:val="19"/>
        <w:keepNext w:val="0"/>
        <w:keepLines w:val="0"/>
        <w:pageBreakBefore w:val="0"/>
        <w:widowControl w:val="0"/>
        <w:numPr>
          <w:ilvl w:val="0"/>
          <w:numId w:val="0"/>
        </w:numPr>
        <w:tabs>
          <w:tab w:val="left" w:pos="108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（1）乙方应按招标文件的要求和投标文件的承诺进行服务以及本合同的约定，需对合同内容进行变更的，应取得甲方同意并经协商一致后签署补充协议确定。</w:t>
      </w:r>
    </w:p>
    <w:p w14:paraId="77345AEA">
      <w:pPr>
        <w:pStyle w:val="19"/>
        <w:keepNext w:val="0"/>
        <w:keepLines w:val="0"/>
        <w:pageBreakBefore w:val="0"/>
        <w:widowControl w:val="0"/>
        <w:numPr>
          <w:ilvl w:val="0"/>
          <w:numId w:val="0"/>
        </w:numPr>
        <w:tabs>
          <w:tab w:val="left" w:pos="108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2）乙方有权要求甲方按约定支付服务费用。如甲方不按时支付乙方有权要求甲方支付逾期违约金。但服务费的支付应以符合东莞市财政局的相关规定为前提，如服务费涉及财政审批的，则因职能部门审批无法按约定时间付款的，不视为甲方违约。</w:t>
      </w:r>
    </w:p>
    <w:p w14:paraId="2B019EFD">
      <w:pPr>
        <w:pStyle w:val="19"/>
        <w:keepNext w:val="0"/>
        <w:keepLines w:val="0"/>
        <w:pageBreakBefore w:val="0"/>
        <w:widowControl w:val="0"/>
        <w:numPr>
          <w:ilvl w:val="0"/>
          <w:numId w:val="0"/>
        </w:numPr>
        <w:tabs>
          <w:tab w:val="left" w:pos="108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2"/>
          <w:sz w:val="28"/>
          <w:szCs w:val="28"/>
          <w:highlight w:val="none"/>
          <w:lang w:val="en-US" w:eastAsia="zh-CN" w:bidi="ar-SA"/>
        </w:rPr>
        <w:t>（3）乙方应为乙方服务人员购买工伤保险或商业意外险，乙方人员在提供服务过程中发生工伤意外事故的，由乙方负责工伤认定、理赔等善后事宜，与甲方无关，甲方因此承担赔偿责任的，赔偿后有权向乙方追偿。</w:t>
      </w:r>
    </w:p>
    <w:p w14:paraId="07913B05">
      <w:pPr>
        <w:pStyle w:val="19"/>
        <w:keepNext w:val="0"/>
        <w:pageBreakBefore w:val="0"/>
        <w:widowControl w:val="0"/>
        <w:numPr>
          <w:ilvl w:val="0"/>
          <w:numId w:val="0"/>
        </w:numPr>
        <w:kinsoku/>
        <w:wordWrap/>
        <w:overflowPunct/>
        <w:topLinePunct w:val="0"/>
        <w:bidi w:val="0"/>
        <w:snapToGrid w:val="0"/>
        <w:spacing w:line="360" w:lineRule="auto"/>
        <w:ind w:left="420" w:leftChars="0" w:hanging="420" w:firstLineChars="0"/>
        <w:textAlignment w:val="auto"/>
        <w:rPr>
          <w:rFonts w:hint="eastAsia" w:ascii="仿宋" w:hAnsi="仿宋" w:eastAsia="仿宋" w:cs="仿宋"/>
          <w:b/>
          <w:color w:val="auto"/>
          <w:spacing w:val="20"/>
          <w:kern w:val="2"/>
          <w:sz w:val="28"/>
          <w:szCs w:val="28"/>
          <w:highlight w:val="none"/>
          <w:lang w:val="en-US" w:eastAsia="zh-CN" w:bidi="ar-SA"/>
        </w:rPr>
      </w:pPr>
      <w:r>
        <w:rPr>
          <w:rFonts w:hint="eastAsia" w:ascii="仿宋" w:hAnsi="仿宋" w:eastAsia="仿宋" w:cs="仿宋"/>
          <w:b/>
          <w:color w:val="auto"/>
          <w:spacing w:val="20"/>
          <w:kern w:val="2"/>
          <w:sz w:val="28"/>
          <w:szCs w:val="28"/>
          <w:highlight w:val="none"/>
          <w:lang w:val="en-US" w:eastAsia="zh-CN" w:bidi="ar-SA"/>
        </w:rPr>
        <w:t>四、履约担保</w:t>
      </w:r>
    </w:p>
    <w:p w14:paraId="5820BF10">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1、履约保证金金额为：大写：人民币</w:t>
      </w:r>
      <w:r>
        <w:rPr>
          <w:rFonts w:hint="eastAsia" w:ascii="仿宋" w:hAnsi="仿宋" w:eastAsia="仿宋" w:cs="仿宋"/>
          <w:b w:val="0"/>
          <w:color w:val="auto"/>
          <w:kern w:val="2"/>
          <w:sz w:val="28"/>
          <w:szCs w:val="28"/>
          <w:highlight w:val="none"/>
          <w:u w:val="single"/>
          <w:lang w:val="en-US" w:eastAsia="zh-CN" w:bidi="ar-SA"/>
        </w:rPr>
        <w:t>贰拾柒万伍仟</w:t>
      </w:r>
      <w:r>
        <w:rPr>
          <w:rFonts w:hint="eastAsia" w:ascii="仿宋" w:hAnsi="仿宋" w:eastAsia="仿宋" w:cs="仿宋"/>
          <w:b w:val="0"/>
          <w:color w:val="auto"/>
          <w:kern w:val="2"/>
          <w:sz w:val="28"/>
          <w:szCs w:val="28"/>
          <w:highlight w:val="none"/>
          <w:lang w:val="en-US" w:eastAsia="zh-CN" w:bidi="ar-SA"/>
        </w:rPr>
        <w:t>元整（</w:t>
      </w:r>
      <w:r>
        <w:rPr>
          <w:rFonts w:hint="eastAsia" w:ascii="仿宋" w:hAnsi="仿宋" w:eastAsia="仿宋" w:cs="仿宋"/>
          <w:color w:val="auto"/>
          <w:sz w:val="28"/>
          <w:szCs w:val="28"/>
          <w:highlight w:val="none"/>
        </w:rPr>
        <w:t>小写：￥</w:t>
      </w:r>
      <w:r>
        <w:rPr>
          <w:rFonts w:hint="eastAsia" w:ascii="仿宋" w:hAnsi="仿宋" w:eastAsia="仿宋" w:cs="仿宋"/>
          <w:b w:val="0"/>
          <w:color w:val="auto"/>
          <w:kern w:val="2"/>
          <w:sz w:val="28"/>
          <w:szCs w:val="28"/>
          <w:highlight w:val="none"/>
          <w:u w:val="single"/>
          <w:lang w:val="en-US" w:eastAsia="zh-CN" w:bidi="ar-SA"/>
        </w:rPr>
        <w:t>275,000.00</w:t>
      </w:r>
      <w:r>
        <w:rPr>
          <w:rFonts w:hint="eastAsia" w:ascii="仿宋" w:hAnsi="仿宋" w:eastAsia="仿宋" w:cs="仿宋"/>
          <w:color w:val="auto"/>
          <w:sz w:val="28"/>
          <w:szCs w:val="28"/>
          <w:highlight w:val="none"/>
        </w:rPr>
        <w:t>元</w:t>
      </w:r>
      <w:r>
        <w:rPr>
          <w:rFonts w:hint="eastAsia" w:ascii="仿宋" w:hAnsi="仿宋" w:eastAsia="仿宋" w:cs="仿宋"/>
          <w:b w:val="0"/>
          <w:color w:val="auto"/>
          <w:kern w:val="2"/>
          <w:sz w:val="28"/>
          <w:szCs w:val="28"/>
          <w:highlight w:val="none"/>
          <w:lang w:val="en-US" w:eastAsia="zh-CN" w:bidi="ar-SA"/>
        </w:rPr>
        <w:t>）</w:t>
      </w:r>
    </w:p>
    <w:p w14:paraId="7BF49C86">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2、履约保证金支付方式：□现金；□转账；□电汇；□汇票；□履约担保函。其中转账/电汇方式支付至甲方如下账户：</w:t>
      </w:r>
    </w:p>
    <w:p w14:paraId="48CFF0CB">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default"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户  名：</w:t>
      </w:r>
      <w:r>
        <w:rPr>
          <w:rFonts w:hint="eastAsia" w:ascii="仿宋" w:hAnsi="仿宋" w:eastAsia="仿宋" w:cs="仿宋"/>
          <w:b w:val="0"/>
          <w:color w:val="auto"/>
          <w:kern w:val="2"/>
          <w:sz w:val="28"/>
          <w:szCs w:val="28"/>
          <w:highlight w:val="none"/>
          <w:u w:val="single"/>
          <w:lang w:val="en-US" w:eastAsia="zh-CN" w:bidi="ar-SA"/>
        </w:rPr>
        <w:t xml:space="preserve">               ；</w:t>
      </w:r>
    </w:p>
    <w:p w14:paraId="72A82368">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开户行：</w:t>
      </w:r>
      <w:r>
        <w:rPr>
          <w:rFonts w:hint="eastAsia" w:ascii="仿宋" w:hAnsi="仿宋" w:eastAsia="仿宋" w:cs="仿宋"/>
          <w:b w:val="0"/>
          <w:color w:val="auto"/>
          <w:kern w:val="2"/>
          <w:sz w:val="28"/>
          <w:szCs w:val="28"/>
          <w:highlight w:val="none"/>
          <w:u w:val="single"/>
          <w:lang w:val="en-US" w:eastAsia="zh-CN" w:bidi="ar-SA"/>
        </w:rPr>
        <w:t xml:space="preserve">               ；</w:t>
      </w:r>
    </w:p>
    <w:p w14:paraId="11092F01">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u w:val="single"/>
          <w:lang w:val="en-US" w:eastAsia="zh-CN" w:bidi="ar-SA"/>
        </w:rPr>
      </w:pPr>
      <w:r>
        <w:rPr>
          <w:rFonts w:hint="eastAsia" w:ascii="仿宋" w:hAnsi="仿宋" w:eastAsia="仿宋" w:cs="仿宋"/>
          <w:b w:val="0"/>
          <w:color w:val="auto"/>
          <w:kern w:val="2"/>
          <w:sz w:val="28"/>
          <w:szCs w:val="28"/>
          <w:highlight w:val="none"/>
          <w:lang w:val="en-US" w:eastAsia="zh-CN" w:bidi="ar-SA"/>
        </w:rPr>
        <w:t>账  号：</w:t>
      </w:r>
      <w:r>
        <w:rPr>
          <w:rFonts w:hint="eastAsia" w:ascii="仿宋" w:hAnsi="仿宋" w:eastAsia="仿宋" w:cs="仿宋"/>
          <w:b w:val="0"/>
          <w:color w:val="auto"/>
          <w:kern w:val="2"/>
          <w:sz w:val="28"/>
          <w:szCs w:val="28"/>
          <w:highlight w:val="none"/>
          <w:u w:val="single"/>
          <w:lang w:val="en-US" w:eastAsia="zh-CN" w:bidi="ar-SA"/>
        </w:rPr>
        <w:t xml:space="preserve">               。</w:t>
      </w:r>
    </w:p>
    <w:p w14:paraId="40FB10FE">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default" w:ascii="仿宋" w:hAnsi="仿宋" w:eastAsia="仿宋" w:cs="仿宋"/>
          <w:b w:val="0"/>
          <w:color w:val="auto"/>
          <w:kern w:val="2"/>
          <w:sz w:val="28"/>
          <w:szCs w:val="28"/>
          <w:highlight w:val="none"/>
          <w:u w:val="none"/>
          <w:lang w:val="en-US" w:eastAsia="zh-CN" w:bidi="ar-SA"/>
        </w:rPr>
      </w:pPr>
      <w:r>
        <w:rPr>
          <w:rFonts w:hint="eastAsia" w:ascii="仿宋" w:hAnsi="仿宋" w:eastAsia="仿宋" w:cs="仿宋"/>
          <w:b w:val="0"/>
          <w:color w:val="auto"/>
          <w:kern w:val="2"/>
          <w:sz w:val="28"/>
          <w:szCs w:val="28"/>
          <w:highlight w:val="none"/>
          <w:u w:val="none"/>
          <w:lang w:val="en-US" w:eastAsia="zh-CN" w:bidi="ar-SA"/>
        </w:rPr>
        <w:t>3</w:t>
      </w:r>
      <w:r>
        <w:rPr>
          <w:rFonts w:hint="default" w:ascii="仿宋" w:hAnsi="仿宋" w:eastAsia="仿宋" w:cs="仿宋"/>
          <w:b w:val="0"/>
          <w:color w:val="auto"/>
          <w:kern w:val="2"/>
          <w:sz w:val="28"/>
          <w:szCs w:val="28"/>
          <w:highlight w:val="none"/>
          <w:u w:val="none"/>
          <w:lang w:val="en-US" w:eastAsia="zh-CN" w:bidi="ar-SA"/>
        </w:rPr>
        <w:t>、</w:t>
      </w:r>
      <w:r>
        <w:rPr>
          <w:rFonts w:hint="eastAsia" w:ascii="仿宋" w:hAnsi="仿宋" w:eastAsia="仿宋" w:cs="仿宋"/>
          <w:b w:val="0"/>
          <w:color w:val="auto"/>
          <w:kern w:val="2"/>
          <w:sz w:val="28"/>
          <w:szCs w:val="28"/>
          <w:highlight w:val="none"/>
          <w:u w:val="none"/>
          <w:lang w:val="en-US" w:eastAsia="zh-CN" w:bidi="ar-SA"/>
        </w:rPr>
        <w:t>乙方</w:t>
      </w:r>
      <w:r>
        <w:rPr>
          <w:rFonts w:hint="default" w:ascii="仿宋" w:hAnsi="仿宋" w:eastAsia="仿宋" w:cs="仿宋"/>
          <w:b w:val="0"/>
          <w:color w:val="auto"/>
          <w:kern w:val="2"/>
          <w:sz w:val="28"/>
          <w:szCs w:val="28"/>
          <w:highlight w:val="none"/>
          <w:u w:val="none"/>
          <w:lang w:val="en-US" w:eastAsia="zh-CN" w:bidi="ar-SA"/>
        </w:rPr>
        <w:t>须在签订合同后10日内，向</w:t>
      </w:r>
      <w:r>
        <w:rPr>
          <w:rFonts w:hint="eastAsia" w:ascii="仿宋" w:hAnsi="仿宋" w:eastAsia="仿宋" w:cs="仿宋"/>
          <w:b w:val="0"/>
          <w:color w:val="auto"/>
          <w:kern w:val="2"/>
          <w:sz w:val="28"/>
          <w:szCs w:val="28"/>
          <w:highlight w:val="none"/>
          <w:u w:val="none"/>
          <w:lang w:val="en-US" w:eastAsia="zh-CN" w:bidi="ar-SA"/>
        </w:rPr>
        <w:t>甲方按上述条款约定</w:t>
      </w:r>
      <w:r>
        <w:rPr>
          <w:rFonts w:hint="default" w:ascii="仿宋" w:hAnsi="仿宋" w:eastAsia="仿宋" w:cs="仿宋"/>
          <w:b w:val="0"/>
          <w:color w:val="auto"/>
          <w:kern w:val="2"/>
          <w:sz w:val="28"/>
          <w:szCs w:val="28"/>
          <w:highlight w:val="none"/>
          <w:u w:val="none"/>
          <w:lang w:val="en-US" w:eastAsia="zh-CN" w:bidi="ar-SA"/>
        </w:rPr>
        <w:t>提交履约保证金或出具相等担保额度的履约担保函</w:t>
      </w:r>
      <w:r>
        <w:rPr>
          <w:rFonts w:hint="eastAsia" w:ascii="仿宋" w:hAnsi="仿宋" w:eastAsia="仿宋" w:cs="仿宋"/>
          <w:b w:val="0"/>
          <w:color w:val="auto"/>
          <w:kern w:val="2"/>
          <w:sz w:val="28"/>
          <w:szCs w:val="28"/>
          <w:highlight w:val="none"/>
          <w:u w:val="none"/>
          <w:lang w:val="en-US" w:eastAsia="zh-CN" w:bidi="ar-SA"/>
        </w:rPr>
        <w:t>，担保期限为三年</w:t>
      </w:r>
      <w:r>
        <w:rPr>
          <w:rFonts w:hint="default" w:ascii="仿宋" w:hAnsi="仿宋" w:eastAsia="仿宋" w:cs="仿宋"/>
          <w:b w:val="0"/>
          <w:color w:val="auto"/>
          <w:kern w:val="2"/>
          <w:sz w:val="28"/>
          <w:szCs w:val="28"/>
          <w:highlight w:val="none"/>
          <w:u w:val="none"/>
          <w:lang w:val="en-US" w:eastAsia="zh-CN" w:bidi="ar-SA"/>
        </w:rPr>
        <w:t>。</w:t>
      </w:r>
    </w:p>
    <w:p w14:paraId="2FCFDB47">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u w:val="none"/>
          <w:lang w:val="en-US" w:eastAsia="zh-CN" w:bidi="ar-SA"/>
        </w:rPr>
      </w:pPr>
      <w:r>
        <w:rPr>
          <w:rFonts w:hint="eastAsia" w:ascii="仿宋" w:hAnsi="仿宋" w:eastAsia="仿宋" w:cs="仿宋"/>
          <w:b w:val="0"/>
          <w:color w:val="auto"/>
          <w:kern w:val="2"/>
          <w:sz w:val="28"/>
          <w:szCs w:val="28"/>
          <w:highlight w:val="none"/>
          <w:u w:val="none"/>
          <w:lang w:val="en-US" w:eastAsia="zh-CN" w:bidi="ar-SA"/>
        </w:rPr>
        <w:t>4、乙方因自身原因不能按照招标文件规定签订合同或者没有按约定履行合同的，甲方有权没收履约保证金并解除合同。</w:t>
      </w:r>
    </w:p>
    <w:p w14:paraId="749B3266">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u w:val="none"/>
          <w:lang w:val="en-US" w:eastAsia="zh-CN" w:bidi="ar-SA"/>
        </w:rPr>
      </w:pPr>
      <w:r>
        <w:rPr>
          <w:rFonts w:hint="eastAsia" w:ascii="仿宋" w:hAnsi="仿宋" w:eastAsia="仿宋" w:cs="仿宋"/>
          <w:b w:val="0"/>
          <w:color w:val="auto"/>
          <w:kern w:val="2"/>
          <w:sz w:val="28"/>
          <w:szCs w:val="28"/>
          <w:highlight w:val="none"/>
          <w:u w:val="none"/>
          <w:lang w:val="en-US" w:eastAsia="zh-CN" w:bidi="ar-SA"/>
        </w:rPr>
        <w:t>5、乙方委派人员应严格按照规定认真履行职责，乙方委派的工作人员违反本合同约定，造成的损失由乙方负责，损失金额超过人民币5万元或者造成不良社会影响的，甲方有权没收履约保证金或按履约保函担保额度索赔保证金并视情况解除合同。</w:t>
      </w:r>
    </w:p>
    <w:p w14:paraId="2916E86D">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default" w:ascii="仿宋" w:hAnsi="仿宋" w:eastAsia="仿宋" w:cs="仿宋"/>
          <w:b w:val="0"/>
          <w:color w:val="auto"/>
          <w:kern w:val="2"/>
          <w:sz w:val="28"/>
          <w:szCs w:val="28"/>
          <w:highlight w:val="none"/>
          <w:u w:val="none"/>
          <w:lang w:val="en-US" w:eastAsia="zh-CN" w:bidi="ar-SA"/>
        </w:rPr>
      </w:pPr>
      <w:r>
        <w:rPr>
          <w:rFonts w:hint="eastAsia" w:ascii="仿宋" w:hAnsi="仿宋" w:eastAsia="仿宋" w:cs="仿宋"/>
          <w:b w:val="0"/>
          <w:color w:val="auto"/>
          <w:kern w:val="2"/>
          <w:sz w:val="28"/>
          <w:szCs w:val="28"/>
          <w:highlight w:val="none"/>
          <w:u w:val="none"/>
          <w:lang w:val="en-US" w:eastAsia="zh-CN" w:bidi="ar-SA"/>
        </w:rPr>
        <w:t>6、乙方的履约保证金在乙方按承诺完全履行合同的约定，服务期满并顺利交接后的30个工作日内，由甲方以转账（支票）形式退还给乙方或终止履约担保函期限。</w:t>
      </w:r>
    </w:p>
    <w:p w14:paraId="18FEFDE3">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default" w:ascii="仿宋" w:hAnsi="仿宋" w:eastAsia="仿宋" w:cs="仿宋"/>
          <w:b w:val="0"/>
          <w:color w:val="auto"/>
          <w:kern w:val="2"/>
          <w:sz w:val="28"/>
          <w:szCs w:val="28"/>
          <w:highlight w:val="none"/>
          <w:u w:val="none"/>
          <w:lang w:val="en-US" w:eastAsia="zh-CN" w:bidi="ar-SA"/>
        </w:rPr>
      </w:pPr>
      <w:r>
        <w:rPr>
          <w:rFonts w:hint="default" w:ascii="仿宋" w:hAnsi="仿宋" w:eastAsia="仿宋" w:cs="仿宋"/>
          <w:b w:val="0"/>
          <w:color w:val="auto"/>
          <w:kern w:val="2"/>
          <w:sz w:val="28"/>
          <w:szCs w:val="28"/>
          <w:highlight w:val="none"/>
          <w:u w:val="none"/>
          <w:lang w:val="en-US" w:eastAsia="zh-CN" w:bidi="ar-SA"/>
        </w:rPr>
        <w:t>7、乙方同意，当存在上述可处没收保证金的违约行为，甲方有权不论实际损失金额依约定行使权利没收保证金，乙方不得以损失低于保证金为由提出异议。</w:t>
      </w:r>
    </w:p>
    <w:p w14:paraId="6150EE21">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default" w:ascii="仿宋" w:hAnsi="仿宋" w:eastAsia="仿宋" w:cs="仿宋"/>
          <w:b w:val="0"/>
          <w:color w:val="auto"/>
          <w:kern w:val="2"/>
          <w:sz w:val="28"/>
          <w:szCs w:val="28"/>
          <w:highlight w:val="none"/>
          <w:u w:val="none"/>
          <w:lang w:val="en-US" w:eastAsia="zh-CN" w:bidi="ar-SA"/>
        </w:rPr>
      </w:pPr>
      <w:r>
        <w:rPr>
          <w:rFonts w:hint="default" w:ascii="仿宋" w:hAnsi="仿宋" w:eastAsia="仿宋" w:cs="仿宋"/>
          <w:b w:val="0"/>
          <w:color w:val="auto"/>
          <w:kern w:val="2"/>
          <w:sz w:val="28"/>
          <w:szCs w:val="28"/>
          <w:highlight w:val="none"/>
          <w:u w:val="none"/>
          <w:lang w:val="en-US" w:eastAsia="zh-CN" w:bidi="ar-SA"/>
        </w:rPr>
        <w:t>8、当甲方依据约定没收、扣除、提取保证金，导致保证金减少/清零，但未行使合同解除权，合同继续履行的，乙方应将保证金/履约包含补足至约定数额，经催告乙方未在甲方通知的合理期限内补缴的，甲方有权立即解除合同。</w:t>
      </w:r>
    </w:p>
    <w:p w14:paraId="791B6BD6">
      <w:pPr>
        <w:pStyle w:val="19"/>
        <w:keepNext w:val="0"/>
        <w:pageBreakBefore w:val="0"/>
        <w:widowControl w:val="0"/>
        <w:numPr>
          <w:ilvl w:val="0"/>
          <w:numId w:val="0"/>
        </w:numPr>
        <w:kinsoku/>
        <w:wordWrap/>
        <w:overflowPunct/>
        <w:topLinePunct w:val="0"/>
        <w:bidi w:val="0"/>
        <w:snapToGrid w:val="0"/>
        <w:spacing w:line="360" w:lineRule="auto"/>
        <w:ind w:left="420" w:leftChars="0" w:hanging="420" w:firstLineChars="0"/>
        <w:textAlignment w:val="auto"/>
        <w:rPr>
          <w:rFonts w:hint="eastAsia" w:ascii="仿宋" w:hAnsi="仿宋" w:eastAsia="仿宋" w:cs="仿宋"/>
          <w:b/>
          <w:color w:val="auto"/>
          <w:spacing w:val="20"/>
          <w:sz w:val="28"/>
          <w:szCs w:val="28"/>
          <w:highlight w:val="none"/>
        </w:rPr>
      </w:pPr>
      <w:r>
        <w:rPr>
          <w:rFonts w:hint="eastAsia" w:ascii="仿宋" w:hAnsi="仿宋" w:eastAsia="仿宋" w:cs="仿宋"/>
          <w:b/>
          <w:color w:val="auto"/>
          <w:spacing w:val="20"/>
          <w:kern w:val="2"/>
          <w:sz w:val="28"/>
          <w:szCs w:val="28"/>
          <w:highlight w:val="none"/>
          <w:lang w:val="en-US" w:eastAsia="zh-CN" w:bidi="ar-SA"/>
        </w:rPr>
        <w:t>五、</w:t>
      </w:r>
      <w:r>
        <w:rPr>
          <w:rFonts w:hint="eastAsia" w:ascii="仿宋" w:hAnsi="仿宋" w:eastAsia="仿宋" w:cs="仿宋"/>
          <w:b/>
          <w:color w:val="auto"/>
          <w:spacing w:val="20"/>
          <w:sz w:val="28"/>
          <w:szCs w:val="28"/>
          <w:highlight w:val="none"/>
        </w:rPr>
        <w:t>价格</w:t>
      </w:r>
    </w:p>
    <w:p w14:paraId="4BA0675A">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b w:val="0"/>
          <w:color w:val="auto"/>
          <w:kern w:val="2"/>
          <w:sz w:val="28"/>
          <w:szCs w:val="28"/>
          <w:highlight w:val="none"/>
          <w:lang w:val="en-US" w:eastAsia="zh-CN" w:bidi="ar-SA"/>
        </w:rPr>
        <w:t>1、</w:t>
      </w:r>
      <w:r>
        <w:rPr>
          <w:rFonts w:hint="eastAsia" w:ascii="仿宋" w:hAnsi="仿宋" w:eastAsia="仿宋" w:cs="仿宋"/>
          <w:color w:val="auto"/>
          <w:sz w:val="28"/>
          <w:szCs w:val="28"/>
          <w:highlight w:val="none"/>
        </w:rPr>
        <w:t>合同</w:t>
      </w:r>
      <w:r>
        <w:rPr>
          <w:rFonts w:hint="eastAsia" w:ascii="仿宋" w:hAnsi="仿宋" w:eastAsia="仿宋" w:cs="仿宋"/>
          <w:color w:val="auto"/>
          <w:sz w:val="28"/>
          <w:szCs w:val="28"/>
          <w:highlight w:val="none"/>
          <w:lang w:val="en-US" w:eastAsia="zh-CN"/>
        </w:rPr>
        <w:t>预估金额</w:t>
      </w:r>
      <w:r>
        <w:rPr>
          <w:rFonts w:hint="eastAsia" w:ascii="仿宋" w:hAnsi="仿宋" w:eastAsia="仿宋" w:cs="仿宋"/>
          <w:color w:val="auto"/>
          <w:sz w:val="28"/>
          <w:szCs w:val="28"/>
          <w:highlight w:val="none"/>
        </w:rPr>
        <w:t>：大写：人民币</w:t>
      </w:r>
      <w:r>
        <w:rPr>
          <w:rFonts w:hint="eastAsia" w:ascii="仿宋" w:hAnsi="仿宋" w:eastAsia="仿宋" w:cs="仿宋"/>
          <w:color w:val="auto"/>
          <w:sz w:val="28"/>
          <w:szCs w:val="28"/>
          <w:highlight w:val="none"/>
          <w:u w:val="single"/>
          <w:lang w:val="en-US" w:eastAsia="zh-CN"/>
        </w:rPr>
        <w:t>伍佰伍拾万</w:t>
      </w:r>
      <w:r>
        <w:rPr>
          <w:rFonts w:hint="eastAsia" w:ascii="仿宋" w:hAnsi="仿宋" w:eastAsia="仿宋" w:cs="仿宋"/>
          <w:color w:val="auto"/>
          <w:sz w:val="28"/>
          <w:szCs w:val="28"/>
          <w:highlight w:val="none"/>
        </w:rPr>
        <w:t>元整（小写：￥</w:t>
      </w:r>
      <w:r>
        <w:rPr>
          <w:rFonts w:hint="eastAsia" w:ascii="仿宋" w:hAnsi="仿宋" w:eastAsia="仿宋" w:cs="仿宋"/>
          <w:color w:val="auto"/>
          <w:sz w:val="28"/>
          <w:szCs w:val="28"/>
          <w:highlight w:val="none"/>
          <w:u w:val="single"/>
          <w:lang w:val="en-US" w:eastAsia="zh-CN"/>
        </w:rPr>
        <w:t>5</w:t>
      </w:r>
      <w:r>
        <w:rPr>
          <w:rFonts w:hint="eastAsia" w:ascii="仿宋" w:hAnsi="仿宋" w:eastAsia="仿宋" w:cs="仿宋"/>
          <w:color w:val="auto"/>
          <w:sz w:val="28"/>
          <w:szCs w:val="28"/>
          <w:highlight w:val="none"/>
          <w:u w:val="single"/>
        </w:rPr>
        <w:t>,</w:t>
      </w:r>
      <w:r>
        <w:rPr>
          <w:rFonts w:hint="eastAsia" w:ascii="仿宋" w:hAnsi="仿宋" w:eastAsia="仿宋" w:cs="仿宋"/>
          <w:color w:val="auto"/>
          <w:sz w:val="28"/>
          <w:szCs w:val="28"/>
          <w:highlight w:val="none"/>
          <w:u w:val="single"/>
          <w:lang w:val="en-US" w:eastAsia="zh-CN"/>
        </w:rPr>
        <w:t>50</w:t>
      </w:r>
      <w:r>
        <w:rPr>
          <w:rFonts w:hint="eastAsia" w:ascii="仿宋" w:hAnsi="仿宋" w:eastAsia="仿宋" w:cs="仿宋"/>
          <w:color w:val="auto"/>
          <w:sz w:val="28"/>
          <w:szCs w:val="28"/>
          <w:highlight w:val="none"/>
          <w:u w:val="single"/>
        </w:rPr>
        <w:t>0,000.00</w:t>
      </w:r>
      <w:r>
        <w:rPr>
          <w:rFonts w:hint="eastAsia" w:ascii="仿宋" w:hAnsi="仿宋" w:eastAsia="仿宋" w:cs="仿宋"/>
          <w:color w:val="auto"/>
          <w:sz w:val="28"/>
          <w:szCs w:val="28"/>
          <w:highlight w:val="none"/>
        </w:rPr>
        <w:t>元）</w:t>
      </w:r>
    </w:p>
    <w:p w14:paraId="1118DE20">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2、折扣：大写：百分之</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none"/>
          <w:lang w:eastAsia="zh-CN"/>
        </w:rPr>
        <w:t>（</w:t>
      </w:r>
      <w:r>
        <w:rPr>
          <w:rFonts w:hint="eastAsia" w:ascii="仿宋" w:hAnsi="仿宋" w:eastAsia="仿宋" w:cs="仿宋"/>
          <w:color w:val="auto"/>
          <w:sz w:val="28"/>
          <w:szCs w:val="28"/>
          <w:highlight w:val="none"/>
          <w:u w:val="none"/>
          <w:lang w:val="en-US" w:eastAsia="zh-CN"/>
        </w:rPr>
        <w:t>小写：</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none"/>
          <w:lang w:val="en-US" w:eastAsia="zh-CN"/>
        </w:rPr>
        <w:t>%</w:t>
      </w:r>
      <w:r>
        <w:rPr>
          <w:rFonts w:hint="eastAsia" w:ascii="仿宋" w:hAnsi="仿宋" w:eastAsia="仿宋" w:cs="仿宋"/>
          <w:color w:val="auto"/>
          <w:sz w:val="28"/>
          <w:szCs w:val="28"/>
          <w:highlight w:val="none"/>
          <w:u w:val="none"/>
          <w:lang w:eastAsia="zh-CN"/>
        </w:rPr>
        <w:t>）</w:t>
      </w:r>
    </w:p>
    <w:p w14:paraId="16E23AA9">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3、基准价确定：（1）东莞市发展和改革局价格管理专栏（http://dgdp.dg.gov.cn/jggl/index.html）中《东莞市菜篮子价格监测表》有价格的货物，取《东莞市菜篮子价格监测表》公布的农贸市场平均零售价格为参考基准价（以最近日期发布的价格为准）；（2）由甲、乙双方共同按常平木伦市场、常平第一市场、常平金美市场三个市场作为参考，以其同类产品价格的平均价作为参考基准价（即基准价=3个市场抽样价格之和÷3，计算结果四舍五入保留两位小数）。（3）实际结算基准价，取上述两个参考基准价中较低的为结算基准价；《东莞市菜篮子价格监测表》无甲方所需货品的，则按上文（2）条款约定的方式确定结算基准价。</w:t>
      </w:r>
    </w:p>
    <w:p w14:paraId="3817CE56">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4、结算价格确定：结算价格=结算基准价×折扣。</w:t>
      </w:r>
    </w:p>
    <w:p w14:paraId="1B84AA1A">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5、本合同结算基准价每月调整2次，乙方须按上述基准价格确定的原则分别在每月25日前将下一月度上半月、每月10日前将本月下半月的食材基准价及报价以书面的形式递交至甲方处审核，经双方确认后实施。除合同另有约定外，双方可以协商重新定价，否则一经定价，双方不得以任何理由加价或减价。</w:t>
      </w:r>
    </w:p>
    <w:p w14:paraId="720558F1">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6、本合同价款包含完成本合同约定所有服务内容的费用，包括但不限于购货或自产养种植成本、包装配送运输、保险、装卸服务、粗加工、退换、雇员费用、质保期售后服务、全额含税发票、合同实施过程中的应预见和不可预见费用等。乙方必须充分考虑履约期间的一切可能产生的风险和相关费用，甲方将拒绝支付合同约定货款之外的任何费用和补偿。</w:t>
      </w:r>
    </w:p>
    <w:p w14:paraId="2E923ECD">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default"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7、本合同金额为预估金额，甲方无法预计也无法保证具体委托的业务数量及金额。甲方不就本合同实际交易量、收入作出任何承诺，双方根据实际采购量结算，乙方盈亏自负。甲方根据《广东省财政厅关于落实2025年政府采购脱贫地区农副产品工作的通知》（粤财采购〔2025〕2号）要求，原则上需要预留总预算一定金额向脱贫认定单位供货商采购，乙方必须无条件配合。乙方不得以上述条款为由拒绝履行合同约定的义务，否则甲方有权解除合同并追究乙方违约责任。</w:t>
      </w:r>
    </w:p>
    <w:p w14:paraId="01BBFEBE">
      <w:pPr>
        <w:pStyle w:val="19"/>
        <w:keepNext w:val="0"/>
        <w:pageBreakBefore w:val="0"/>
        <w:widowControl w:val="0"/>
        <w:numPr>
          <w:ilvl w:val="0"/>
          <w:numId w:val="0"/>
        </w:numPr>
        <w:kinsoku/>
        <w:wordWrap/>
        <w:overflowPunct/>
        <w:topLinePunct w:val="0"/>
        <w:bidi w:val="0"/>
        <w:snapToGrid w:val="0"/>
        <w:spacing w:line="360" w:lineRule="auto"/>
        <w:ind w:left="420" w:leftChars="0" w:hanging="420" w:firstLineChars="0"/>
        <w:textAlignment w:val="auto"/>
        <w:rPr>
          <w:rFonts w:hint="eastAsia" w:ascii="仿宋" w:hAnsi="仿宋" w:eastAsia="仿宋" w:cs="仿宋"/>
          <w:b/>
          <w:color w:val="auto"/>
          <w:spacing w:val="20"/>
          <w:kern w:val="2"/>
          <w:sz w:val="28"/>
          <w:szCs w:val="28"/>
          <w:highlight w:val="none"/>
          <w:lang w:val="en-US" w:eastAsia="zh-CN" w:bidi="ar-SA"/>
        </w:rPr>
      </w:pPr>
      <w:r>
        <w:rPr>
          <w:rFonts w:hint="eastAsia" w:ascii="仿宋" w:hAnsi="仿宋" w:eastAsia="仿宋" w:cs="仿宋"/>
          <w:b/>
          <w:color w:val="auto"/>
          <w:spacing w:val="20"/>
          <w:kern w:val="2"/>
          <w:sz w:val="28"/>
          <w:szCs w:val="28"/>
          <w:highlight w:val="none"/>
          <w:lang w:val="en-US" w:eastAsia="zh-CN" w:bidi="ar-SA"/>
        </w:rPr>
        <w:t>六、验收要求</w:t>
      </w:r>
    </w:p>
    <w:p w14:paraId="55158E2D">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default" w:ascii="仿宋" w:hAnsi="仿宋" w:eastAsia="仿宋" w:cs="仿宋"/>
          <w:b w:val="0"/>
          <w:color w:val="auto"/>
          <w:kern w:val="2"/>
          <w:sz w:val="28"/>
          <w:szCs w:val="28"/>
          <w:highlight w:val="none"/>
          <w:lang w:val="en-US" w:eastAsia="zh-CN" w:bidi="ar-SA"/>
        </w:rPr>
      </w:pPr>
      <w:r>
        <w:rPr>
          <w:rFonts w:hint="default" w:ascii="仿宋" w:hAnsi="仿宋" w:eastAsia="仿宋" w:cs="仿宋"/>
          <w:b w:val="0"/>
          <w:color w:val="auto"/>
          <w:kern w:val="2"/>
          <w:sz w:val="28"/>
          <w:szCs w:val="28"/>
          <w:highlight w:val="none"/>
          <w:lang w:val="en-US" w:eastAsia="zh-CN" w:bidi="ar-SA"/>
        </w:rPr>
        <w:t>1、</w:t>
      </w:r>
      <w:r>
        <w:rPr>
          <w:rFonts w:hint="eastAsia" w:ascii="仿宋" w:hAnsi="仿宋" w:eastAsia="仿宋" w:cs="仿宋"/>
          <w:b w:val="0"/>
          <w:color w:val="auto"/>
          <w:kern w:val="2"/>
          <w:sz w:val="28"/>
          <w:szCs w:val="28"/>
          <w:highlight w:val="none"/>
          <w:lang w:val="en-US" w:eastAsia="zh-CN" w:bidi="ar-SA"/>
        </w:rPr>
        <w:t>乙方</w:t>
      </w:r>
      <w:r>
        <w:rPr>
          <w:rFonts w:hint="default" w:ascii="仿宋" w:hAnsi="仿宋" w:eastAsia="仿宋" w:cs="仿宋"/>
          <w:b w:val="0"/>
          <w:color w:val="auto"/>
          <w:kern w:val="2"/>
          <w:sz w:val="28"/>
          <w:szCs w:val="28"/>
          <w:highlight w:val="none"/>
          <w:lang w:val="en-US" w:eastAsia="zh-CN" w:bidi="ar-SA"/>
        </w:rPr>
        <w:t>按照</w:t>
      </w:r>
      <w:r>
        <w:rPr>
          <w:rFonts w:hint="eastAsia" w:ascii="仿宋" w:hAnsi="仿宋" w:eastAsia="仿宋" w:cs="仿宋"/>
          <w:b w:val="0"/>
          <w:color w:val="auto"/>
          <w:kern w:val="2"/>
          <w:sz w:val="28"/>
          <w:szCs w:val="28"/>
          <w:highlight w:val="none"/>
          <w:lang w:val="en-US" w:eastAsia="zh-CN" w:bidi="ar-SA"/>
        </w:rPr>
        <w:t>甲方</w:t>
      </w:r>
      <w:r>
        <w:rPr>
          <w:rFonts w:hint="default" w:ascii="仿宋" w:hAnsi="仿宋" w:eastAsia="仿宋" w:cs="仿宋"/>
          <w:b w:val="0"/>
          <w:color w:val="auto"/>
          <w:kern w:val="2"/>
          <w:sz w:val="28"/>
          <w:szCs w:val="28"/>
          <w:highlight w:val="none"/>
          <w:lang w:val="en-US" w:eastAsia="zh-CN" w:bidi="ar-SA"/>
        </w:rPr>
        <w:t>要求将货物送至指定地点后，双方人员应及时对货物进行验收。食材的每日验收由</w:t>
      </w:r>
      <w:r>
        <w:rPr>
          <w:rFonts w:hint="eastAsia" w:ascii="仿宋" w:hAnsi="仿宋" w:eastAsia="仿宋" w:cs="仿宋"/>
          <w:b w:val="0"/>
          <w:color w:val="auto"/>
          <w:kern w:val="2"/>
          <w:sz w:val="28"/>
          <w:szCs w:val="28"/>
          <w:highlight w:val="none"/>
          <w:lang w:val="en-US" w:eastAsia="zh-CN" w:bidi="ar-SA"/>
        </w:rPr>
        <w:t>甲、乙双方</w:t>
      </w:r>
      <w:r>
        <w:rPr>
          <w:rFonts w:hint="default" w:ascii="仿宋" w:hAnsi="仿宋" w:eastAsia="仿宋" w:cs="仿宋"/>
          <w:b w:val="0"/>
          <w:color w:val="auto"/>
          <w:kern w:val="2"/>
          <w:sz w:val="28"/>
          <w:szCs w:val="28"/>
          <w:highlight w:val="none"/>
          <w:lang w:val="en-US" w:eastAsia="zh-CN" w:bidi="ar-SA"/>
        </w:rPr>
        <w:t>组成的验收小组进行共同验收，验收人员对当天所配送的食材进行规格、质量、数量、价格等方面的验收。验收标准严格按照国家、地方的相关规定、招标文件及投标文件相关内容执行。</w:t>
      </w:r>
    </w:p>
    <w:p w14:paraId="20CA0F9D">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default" w:ascii="仿宋" w:hAnsi="仿宋" w:eastAsia="仿宋" w:cs="仿宋"/>
          <w:b w:val="0"/>
          <w:color w:val="auto"/>
          <w:kern w:val="2"/>
          <w:sz w:val="28"/>
          <w:szCs w:val="28"/>
          <w:highlight w:val="none"/>
          <w:lang w:val="en-US" w:eastAsia="zh-CN" w:bidi="ar-SA"/>
        </w:rPr>
      </w:pPr>
      <w:r>
        <w:rPr>
          <w:rFonts w:hint="default" w:ascii="仿宋" w:hAnsi="仿宋" w:eastAsia="仿宋" w:cs="仿宋"/>
          <w:b w:val="0"/>
          <w:color w:val="auto"/>
          <w:kern w:val="2"/>
          <w:sz w:val="28"/>
          <w:szCs w:val="28"/>
          <w:highlight w:val="none"/>
          <w:lang w:val="en-US" w:eastAsia="zh-CN" w:bidi="ar-SA"/>
        </w:rPr>
        <w:t>2、交货验收程序如下：（1）双方人员核对送货清单。（2）数量检查：数量短缺的，</w:t>
      </w:r>
      <w:r>
        <w:rPr>
          <w:rFonts w:hint="eastAsia" w:ascii="仿宋" w:hAnsi="仿宋" w:eastAsia="仿宋" w:cs="仿宋"/>
          <w:b w:val="0"/>
          <w:color w:val="auto"/>
          <w:kern w:val="2"/>
          <w:sz w:val="28"/>
          <w:szCs w:val="28"/>
          <w:highlight w:val="none"/>
          <w:lang w:val="en-US" w:eastAsia="zh-CN" w:bidi="ar-SA"/>
        </w:rPr>
        <w:t>乙方</w:t>
      </w:r>
      <w:r>
        <w:rPr>
          <w:rFonts w:hint="default" w:ascii="仿宋" w:hAnsi="仿宋" w:eastAsia="仿宋" w:cs="仿宋"/>
          <w:b w:val="0"/>
          <w:color w:val="auto"/>
          <w:kern w:val="2"/>
          <w:sz w:val="28"/>
          <w:szCs w:val="28"/>
          <w:highlight w:val="none"/>
          <w:lang w:val="en-US" w:eastAsia="zh-CN" w:bidi="ar-SA"/>
        </w:rPr>
        <w:t>必须按照</w:t>
      </w:r>
      <w:r>
        <w:rPr>
          <w:rFonts w:hint="eastAsia" w:ascii="仿宋" w:hAnsi="仿宋" w:eastAsia="仿宋" w:cs="仿宋"/>
          <w:b w:val="0"/>
          <w:color w:val="auto"/>
          <w:kern w:val="2"/>
          <w:sz w:val="28"/>
          <w:szCs w:val="28"/>
          <w:highlight w:val="none"/>
          <w:lang w:val="en-US" w:eastAsia="zh-CN" w:bidi="ar-SA"/>
        </w:rPr>
        <w:t>甲方</w:t>
      </w:r>
      <w:r>
        <w:rPr>
          <w:rFonts w:hint="default" w:ascii="仿宋" w:hAnsi="仿宋" w:eastAsia="仿宋" w:cs="仿宋"/>
          <w:b w:val="0"/>
          <w:color w:val="auto"/>
          <w:kern w:val="2"/>
          <w:sz w:val="28"/>
          <w:szCs w:val="28"/>
          <w:highlight w:val="none"/>
          <w:lang w:val="en-US" w:eastAsia="zh-CN" w:bidi="ar-SA"/>
        </w:rPr>
        <w:t>要求补齐货物并承担延迟交货责任；送货数量超出订货数量的，超出部分</w:t>
      </w:r>
      <w:r>
        <w:rPr>
          <w:rFonts w:hint="eastAsia" w:ascii="仿宋" w:hAnsi="仿宋" w:eastAsia="仿宋" w:cs="仿宋"/>
          <w:b w:val="0"/>
          <w:color w:val="auto"/>
          <w:kern w:val="2"/>
          <w:sz w:val="28"/>
          <w:szCs w:val="28"/>
          <w:highlight w:val="none"/>
          <w:lang w:val="en-US" w:eastAsia="zh-CN" w:bidi="ar-SA"/>
        </w:rPr>
        <w:t>甲方</w:t>
      </w:r>
      <w:r>
        <w:rPr>
          <w:rFonts w:hint="default" w:ascii="仿宋" w:hAnsi="仿宋" w:eastAsia="仿宋" w:cs="仿宋"/>
          <w:b w:val="0"/>
          <w:color w:val="auto"/>
          <w:kern w:val="2"/>
          <w:sz w:val="28"/>
          <w:szCs w:val="28"/>
          <w:highlight w:val="none"/>
          <w:lang w:val="en-US" w:eastAsia="zh-CN" w:bidi="ar-SA"/>
        </w:rPr>
        <w:t>有权拒收，</w:t>
      </w:r>
      <w:r>
        <w:rPr>
          <w:rFonts w:hint="eastAsia" w:ascii="仿宋" w:hAnsi="仿宋" w:eastAsia="仿宋" w:cs="仿宋"/>
          <w:b w:val="0"/>
          <w:color w:val="auto"/>
          <w:kern w:val="2"/>
          <w:sz w:val="28"/>
          <w:szCs w:val="28"/>
          <w:highlight w:val="none"/>
          <w:lang w:val="en-US" w:eastAsia="zh-CN" w:bidi="ar-SA"/>
        </w:rPr>
        <w:t>乙方</w:t>
      </w:r>
      <w:r>
        <w:rPr>
          <w:rFonts w:hint="default" w:ascii="仿宋" w:hAnsi="仿宋" w:eastAsia="仿宋" w:cs="仿宋"/>
          <w:b w:val="0"/>
          <w:color w:val="auto"/>
          <w:kern w:val="2"/>
          <w:sz w:val="28"/>
          <w:szCs w:val="28"/>
          <w:highlight w:val="none"/>
          <w:lang w:val="en-US" w:eastAsia="zh-CN" w:bidi="ar-SA"/>
        </w:rPr>
        <w:t>自行将多余货物清运出</w:t>
      </w:r>
      <w:r>
        <w:rPr>
          <w:rFonts w:hint="eastAsia" w:ascii="仿宋" w:hAnsi="仿宋" w:eastAsia="仿宋" w:cs="仿宋"/>
          <w:b w:val="0"/>
          <w:color w:val="auto"/>
          <w:kern w:val="2"/>
          <w:sz w:val="28"/>
          <w:szCs w:val="28"/>
          <w:highlight w:val="none"/>
          <w:lang w:val="en-US" w:eastAsia="zh-CN" w:bidi="ar-SA"/>
        </w:rPr>
        <w:t>甲方</w:t>
      </w:r>
      <w:r>
        <w:rPr>
          <w:rFonts w:hint="default" w:ascii="仿宋" w:hAnsi="仿宋" w:eastAsia="仿宋" w:cs="仿宋"/>
          <w:b w:val="0"/>
          <w:color w:val="auto"/>
          <w:kern w:val="2"/>
          <w:sz w:val="28"/>
          <w:szCs w:val="28"/>
          <w:highlight w:val="none"/>
          <w:lang w:val="en-US" w:eastAsia="zh-CN" w:bidi="ar-SA"/>
        </w:rPr>
        <w:t>场所。（3）验收合格后，双方在验收登记表上签字确认，验收登记表作为结算对账依据。（4）出现退（补）货情况，应及时报告</w:t>
      </w:r>
      <w:r>
        <w:rPr>
          <w:rFonts w:hint="eastAsia" w:ascii="仿宋" w:hAnsi="仿宋" w:eastAsia="仿宋" w:cs="仿宋"/>
          <w:b w:val="0"/>
          <w:color w:val="auto"/>
          <w:kern w:val="2"/>
          <w:sz w:val="28"/>
          <w:szCs w:val="28"/>
          <w:highlight w:val="none"/>
          <w:lang w:val="en-US" w:eastAsia="zh-CN" w:bidi="ar-SA"/>
        </w:rPr>
        <w:t>甲方</w:t>
      </w:r>
      <w:r>
        <w:rPr>
          <w:rFonts w:hint="default" w:ascii="仿宋" w:hAnsi="仿宋" w:eastAsia="仿宋" w:cs="仿宋"/>
          <w:b w:val="0"/>
          <w:color w:val="auto"/>
          <w:kern w:val="2"/>
          <w:sz w:val="28"/>
          <w:szCs w:val="28"/>
          <w:highlight w:val="none"/>
          <w:lang w:val="en-US" w:eastAsia="zh-CN" w:bidi="ar-SA"/>
        </w:rPr>
        <w:t>相关负责人。在退货过程中，对有碍公共卫生安全的食材，</w:t>
      </w:r>
      <w:r>
        <w:rPr>
          <w:rFonts w:hint="eastAsia" w:ascii="仿宋" w:hAnsi="仿宋" w:eastAsia="仿宋" w:cs="仿宋"/>
          <w:b w:val="0"/>
          <w:color w:val="auto"/>
          <w:kern w:val="2"/>
          <w:sz w:val="28"/>
          <w:szCs w:val="28"/>
          <w:highlight w:val="none"/>
          <w:lang w:val="en-US" w:eastAsia="zh-CN" w:bidi="ar-SA"/>
        </w:rPr>
        <w:t>乙方</w:t>
      </w:r>
      <w:r>
        <w:rPr>
          <w:rFonts w:hint="default" w:ascii="仿宋" w:hAnsi="仿宋" w:eastAsia="仿宋" w:cs="仿宋"/>
          <w:b w:val="0"/>
          <w:color w:val="auto"/>
          <w:kern w:val="2"/>
          <w:sz w:val="28"/>
          <w:szCs w:val="28"/>
          <w:highlight w:val="none"/>
          <w:lang w:val="en-US" w:eastAsia="zh-CN" w:bidi="ar-SA"/>
        </w:rPr>
        <w:t>须按国家有关规定处理或进行协议销毁，不得回收后进行二次利用或销售。</w:t>
      </w:r>
    </w:p>
    <w:p w14:paraId="67A0E621">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default" w:ascii="仿宋" w:hAnsi="仿宋" w:eastAsia="仿宋" w:cs="仿宋"/>
          <w:b w:val="0"/>
          <w:color w:val="auto"/>
          <w:kern w:val="2"/>
          <w:sz w:val="28"/>
          <w:szCs w:val="28"/>
          <w:highlight w:val="none"/>
          <w:lang w:val="en-US" w:eastAsia="zh-CN" w:bidi="ar-SA"/>
        </w:rPr>
      </w:pPr>
      <w:r>
        <w:rPr>
          <w:rFonts w:hint="default" w:ascii="仿宋" w:hAnsi="仿宋" w:eastAsia="仿宋" w:cs="仿宋"/>
          <w:b w:val="0"/>
          <w:color w:val="auto"/>
          <w:kern w:val="2"/>
          <w:sz w:val="28"/>
          <w:szCs w:val="28"/>
          <w:highlight w:val="none"/>
          <w:lang w:val="en-US" w:eastAsia="zh-CN" w:bidi="ar-SA"/>
        </w:rPr>
        <w:t>3、双方对验收结果或货物质量持有异议的，</w:t>
      </w:r>
      <w:r>
        <w:rPr>
          <w:rFonts w:hint="eastAsia" w:ascii="仿宋" w:hAnsi="仿宋" w:eastAsia="仿宋" w:cs="仿宋"/>
          <w:b w:val="0"/>
          <w:color w:val="auto"/>
          <w:kern w:val="2"/>
          <w:sz w:val="28"/>
          <w:szCs w:val="28"/>
          <w:highlight w:val="none"/>
          <w:lang w:val="en-US" w:eastAsia="zh-CN" w:bidi="ar-SA"/>
        </w:rPr>
        <w:t>乙方</w:t>
      </w:r>
      <w:r>
        <w:rPr>
          <w:rFonts w:hint="default" w:ascii="仿宋" w:hAnsi="仿宋" w:eastAsia="仿宋" w:cs="仿宋"/>
          <w:b w:val="0"/>
          <w:color w:val="auto"/>
          <w:kern w:val="2"/>
          <w:sz w:val="28"/>
          <w:szCs w:val="28"/>
          <w:highlight w:val="none"/>
          <w:lang w:val="en-US" w:eastAsia="zh-CN" w:bidi="ar-SA"/>
        </w:rPr>
        <w:t>须先应</w:t>
      </w:r>
      <w:r>
        <w:rPr>
          <w:rFonts w:hint="eastAsia" w:ascii="仿宋" w:hAnsi="仿宋" w:eastAsia="仿宋" w:cs="仿宋"/>
          <w:b w:val="0"/>
          <w:color w:val="auto"/>
          <w:kern w:val="2"/>
          <w:sz w:val="28"/>
          <w:szCs w:val="28"/>
          <w:highlight w:val="none"/>
          <w:lang w:val="en-US" w:eastAsia="zh-CN" w:bidi="ar-SA"/>
        </w:rPr>
        <w:t>甲方</w:t>
      </w:r>
      <w:r>
        <w:rPr>
          <w:rFonts w:hint="default" w:ascii="仿宋" w:hAnsi="仿宋" w:eastAsia="仿宋" w:cs="仿宋"/>
          <w:b w:val="0"/>
          <w:color w:val="auto"/>
          <w:kern w:val="2"/>
          <w:sz w:val="28"/>
          <w:szCs w:val="28"/>
          <w:highlight w:val="none"/>
          <w:lang w:val="en-US" w:eastAsia="zh-CN" w:bidi="ar-SA"/>
        </w:rPr>
        <w:t>要求对货物进行更换或退货，然后由双方对存有异议的货物进行抽样封存，并在3日内交由</w:t>
      </w:r>
      <w:r>
        <w:rPr>
          <w:rFonts w:hint="eastAsia" w:ascii="仿宋" w:hAnsi="仿宋" w:eastAsia="仿宋" w:cs="仿宋"/>
          <w:b w:val="0"/>
          <w:color w:val="auto"/>
          <w:kern w:val="2"/>
          <w:sz w:val="28"/>
          <w:szCs w:val="28"/>
          <w:highlight w:val="none"/>
          <w:lang w:val="en-US" w:eastAsia="zh-CN" w:bidi="ar-SA"/>
        </w:rPr>
        <w:t>甲方</w:t>
      </w:r>
      <w:r>
        <w:rPr>
          <w:rFonts w:hint="default" w:ascii="仿宋" w:hAnsi="仿宋" w:eastAsia="仿宋" w:cs="仿宋"/>
          <w:b w:val="0"/>
          <w:color w:val="auto"/>
          <w:kern w:val="2"/>
          <w:sz w:val="28"/>
          <w:szCs w:val="28"/>
          <w:highlight w:val="none"/>
          <w:lang w:val="en-US" w:eastAsia="zh-CN" w:bidi="ar-SA"/>
        </w:rPr>
        <w:t>所在地的第三方检测机构进行检验，由此产生的检验费由</w:t>
      </w:r>
      <w:r>
        <w:rPr>
          <w:rFonts w:hint="eastAsia" w:ascii="仿宋" w:hAnsi="仿宋" w:eastAsia="仿宋" w:cs="仿宋"/>
          <w:b w:val="0"/>
          <w:color w:val="auto"/>
          <w:kern w:val="2"/>
          <w:sz w:val="28"/>
          <w:szCs w:val="28"/>
          <w:highlight w:val="none"/>
          <w:lang w:val="en-US" w:eastAsia="zh-CN" w:bidi="ar-SA"/>
        </w:rPr>
        <w:t>乙方</w:t>
      </w:r>
      <w:r>
        <w:rPr>
          <w:rFonts w:hint="default" w:ascii="仿宋" w:hAnsi="仿宋" w:eastAsia="仿宋" w:cs="仿宋"/>
          <w:b w:val="0"/>
          <w:color w:val="auto"/>
          <w:kern w:val="2"/>
          <w:sz w:val="28"/>
          <w:szCs w:val="28"/>
          <w:highlight w:val="none"/>
          <w:lang w:val="en-US" w:eastAsia="zh-CN" w:bidi="ar-SA"/>
        </w:rPr>
        <w:t>承担。</w:t>
      </w:r>
    </w:p>
    <w:p w14:paraId="00319037">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default" w:ascii="仿宋" w:hAnsi="仿宋" w:eastAsia="仿宋" w:cs="仿宋"/>
          <w:b w:val="0"/>
          <w:color w:val="auto"/>
          <w:kern w:val="2"/>
          <w:sz w:val="28"/>
          <w:szCs w:val="28"/>
          <w:highlight w:val="none"/>
          <w:lang w:val="en-US" w:eastAsia="zh-CN" w:bidi="ar-SA"/>
        </w:rPr>
      </w:pPr>
      <w:r>
        <w:rPr>
          <w:rFonts w:hint="default" w:ascii="仿宋" w:hAnsi="仿宋" w:eastAsia="仿宋" w:cs="仿宋"/>
          <w:b w:val="0"/>
          <w:color w:val="auto"/>
          <w:kern w:val="2"/>
          <w:sz w:val="28"/>
          <w:szCs w:val="28"/>
          <w:highlight w:val="none"/>
          <w:lang w:val="en-US" w:eastAsia="zh-CN" w:bidi="ar-SA"/>
        </w:rPr>
        <w:t>4、除每日验收外，</w:t>
      </w:r>
      <w:r>
        <w:rPr>
          <w:rFonts w:hint="eastAsia" w:ascii="仿宋" w:hAnsi="仿宋" w:eastAsia="仿宋" w:cs="仿宋"/>
          <w:b w:val="0"/>
          <w:color w:val="auto"/>
          <w:kern w:val="2"/>
          <w:sz w:val="28"/>
          <w:szCs w:val="28"/>
          <w:highlight w:val="none"/>
          <w:lang w:val="en-US" w:eastAsia="zh-CN" w:bidi="ar-SA"/>
        </w:rPr>
        <w:t>甲方</w:t>
      </w:r>
      <w:r>
        <w:rPr>
          <w:rFonts w:hint="default" w:ascii="仿宋" w:hAnsi="仿宋" w:eastAsia="仿宋" w:cs="仿宋"/>
          <w:b w:val="0"/>
          <w:color w:val="auto"/>
          <w:kern w:val="2"/>
          <w:sz w:val="28"/>
          <w:szCs w:val="28"/>
          <w:highlight w:val="none"/>
          <w:lang w:val="en-US" w:eastAsia="zh-CN" w:bidi="ar-SA"/>
        </w:rPr>
        <w:t>每月10日前安排相关人员对</w:t>
      </w:r>
      <w:r>
        <w:rPr>
          <w:rFonts w:hint="eastAsia" w:ascii="仿宋" w:hAnsi="仿宋" w:eastAsia="仿宋" w:cs="仿宋"/>
          <w:b w:val="0"/>
          <w:color w:val="auto"/>
          <w:kern w:val="2"/>
          <w:sz w:val="28"/>
          <w:szCs w:val="28"/>
          <w:highlight w:val="none"/>
          <w:lang w:val="en-US" w:eastAsia="zh-CN" w:bidi="ar-SA"/>
        </w:rPr>
        <w:t>乙方</w:t>
      </w:r>
      <w:r>
        <w:rPr>
          <w:rFonts w:hint="default" w:ascii="仿宋" w:hAnsi="仿宋" w:eastAsia="仿宋" w:cs="仿宋"/>
          <w:b w:val="0"/>
          <w:color w:val="auto"/>
          <w:kern w:val="2"/>
          <w:sz w:val="28"/>
          <w:szCs w:val="28"/>
          <w:highlight w:val="none"/>
          <w:lang w:val="en-US" w:eastAsia="zh-CN" w:bidi="ar-SA"/>
        </w:rPr>
        <w:t>进行食材及服务质量考核跟踪，考核内容详见《食材配送考核表》。</w:t>
      </w:r>
    </w:p>
    <w:p w14:paraId="7B0509B1">
      <w:pPr>
        <w:pStyle w:val="19"/>
        <w:keepNext w:val="0"/>
        <w:pageBreakBefore w:val="0"/>
        <w:widowControl w:val="0"/>
        <w:numPr>
          <w:ilvl w:val="0"/>
          <w:numId w:val="0"/>
        </w:numPr>
        <w:kinsoku/>
        <w:wordWrap/>
        <w:overflowPunct/>
        <w:topLinePunct w:val="0"/>
        <w:bidi w:val="0"/>
        <w:snapToGrid w:val="0"/>
        <w:spacing w:line="360" w:lineRule="auto"/>
        <w:ind w:left="420" w:leftChars="0" w:hanging="420" w:firstLineChars="0"/>
        <w:textAlignment w:val="auto"/>
        <w:rPr>
          <w:rFonts w:hint="eastAsia" w:ascii="仿宋" w:hAnsi="仿宋" w:eastAsia="仿宋" w:cs="仿宋"/>
          <w:b/>
          <w:color w:val="auto"/>
          <w:spacing w:val="20"/>
          <w:kern w:val="2"/>
          <w:sz w:val="28"/>
          <w:szCs w:val="28"/>
          <w:highlight w:val="none"/>
          <w:lang w:val="en-US" w:eastAsia="zh-CN" w:bidi="ar-SA"/>
        </w:rPr>
      </w:pPr>
      <w:r>
        <w:rPr>
          <w:rFonts w:hint="eastAsia" w:ascii="仿宋" w:hAnsi="仿宋" w:eastAsia="仿宋" w:cs="仿宋"/>
          <w:b/>
          <w:color w:val="auto"/>
          <w:spacing w:val="20"/>
          <w:kern w:val="2"/>
          <w:sz w:val="28"/>
          <w:szCs w:val="28"/>
          <w:highlight w:val="none"/>
          <w:lang w:val="en-US" w:eastAsia="zh-CN" w:bidi="ar-SA"/>
        </w:rPr>
        <w:t>七、验收标准</w:t>
      </w:r>
    </w:p>
    <w:p w14:paraId="2E4B1CA2">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乙方应充分理解并认真遵循合同要求，所提供的货物必须满足本合同要求。保证供应的货品均为正规生产的新鲜、检验合格、无毒、无辐射、无侵权货品，符合国家有关卫生、质量、包装和保质标准，有使用有效期的货品，其剩余有效期不得少于标注有效期的80%。货物有包装的，货物的包装必须完整清洁（无损、无污、无皱），甲方有权拒收包装不整齐、已拆封的货品。货品质量或包装不符合甲方要求的，乙方必须无条件退货或更换。配送货品中涉及需冷藏货品的，必须用专用冷藏、冷冻载具运输，保证运输过程冷链不中断，到达目的地时外包装箱干爽，无软化现象；其中须冷藏运输的货品，保证运输过程环境保持在恒温5℃；须冷冻运输的货品，保证运输过程环境保持在恒温-18℃。</w:t>
      </w:r>
    </w:p>
    <w:p w14:paraId="4BCA9559">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1、干货调料及蛋品类</w:t>
      </w:r>
    </w:p>
    <w:p w14:paraId="2B29B9B5">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1）粮食大米类由正规厂家出厂、颜色品质纯正，米粒形均匀、整齐、重量大没有碎米，有清香味和光泽，无米糠和其它杂质、无虫害、无异味、无霉味，用手摸时滑爽、干燥。符合食品卫生标准，无毒、无污染。</w:t>
      </w:r>
    </w:p>
    <w:p w14:paraId="41E2E15D">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（2）食用油类由正规厂家生产的植物油，非转基因，色泽纯正，透明度好。</w:t>
      </w:r>
    </w:p>
    <w:p w14:paraId="471285AA">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（3）调味品类由正规厂家生产，颜色品质纯正。</w:t>
      </w:r>
    </w:p>
    <w:p w14:paraId="2E74BA14">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（4）干货、杂货、副食品类必须选用符合国家食品卫生法规相关标准的商品，选用无毒、无害、无污染、可朔源的食品。掺假、掺杂食品坚决不能使用。</w:t>
      </w:r>
    </w:p>
    <w:p w14:paraId="3FE45630">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（5）副食品等级标准要相符，其包装盒或标签上须注明食品名称、生产厂家、厂址、生产日期、食品的主要原料成份和食品保质期等信息，注明不详或没有注明的商品不予验收。</w:t>
      </w:r>
    </w:p>
    <w:p w14:paraId="7C58D8A5">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（6）副食品表面外观新鲜、完整，无霉变异味，无砂粒杂质，无虫尸鼠粪等不洁卫生问题。</w:t>
      </w:r>
    </w:p>
    <w:p w14:paraId="5B4E6C55">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（7）米粉面粉类及其制品颜色品质要纯正，不掺假、掺杂。</w:t>
      </w:r>
    </w:p>
    <w:p w14:paraId="306A367C">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（8）符合食品卫生标准，粉质细腻干爽无异物、无毒、无污染。</w:t>
      </w:r>
    </w:p>
    <w:p w14:paraId="455D34B4">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（9）制成品不能出现异味、霉变结块、虫尸鼠粪等不洁的卫生问题。</w:t>
      </w:r>
    </w:p>
    <w:p w14:paraId="747EC1C5">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（10）奶制品色泽乳白，口味鲜香，包装完整，无破损，符合国家规定的质量卫生标准。</w:t>
      </w:r>
    </w:p>
    <w:p w14:paraId="4F13CA69">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（11）蛋壳清洁完整，无裂纹，无霉斑，灯光透视时蛋内无黑点及异物，兽药残留限量应符合国家有关规定和公告。</w:t>
      </w:r>
    </w:p>
    <w:p w14:paraId="3C467D17">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2、零星冻品副食品类（含包点、冰鲜类）</w:t>
      </w:r>
    </w:p>
    <w:p w14:paraId="2E79B183">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（1）必须选用符合国家食品卫生法规相关标准的商品，选用无毒、无害、无污染、可朔源的副食品。掺假、掺杂副食品坚决不能使用。</w:t>
      </w:r>
    </w:p>
    <w:p w14:paraId="50CC7C11">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（2）食品等级标准要相符，其包装盒或标签上须注明食品名称，生产厂家、厂址、生产日期、食品的主要原料成份和食品保质期等信息，注明不详或没有注明的商品不予验收。</w:t>
      </w:r>
    </w:p>
    <w:p w14:paraId="75A32A10">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（3）冻肉类产品中间不能有过多冰块，重量必须和包装箱上标明的重量一致。</w:t>
      </w:r>
    </w:p>
    <w:p w14:paraId="0716C05C">
      <w:pPr>
        <w:pStyle w:val="19"/>
        <w:keepNext w:val="0"/>
        <w:pageBreakBefore w:val="0"/>
        <w:widowControl w:val="0"/>
        <w:numPr>
          <w:ilvl w:val="0"/>
          <w:numId w:val="0"/>
        </w:numPr>
        <w:kinsoku/>
        <w:wordWrap/>
        <w:overflowPunct/>
        <w:topLinePunct w:val="0"/>
        <w:bidi w:val="0"/>
        <w:snapToGrid w:val="0"/>
        <w:spacing w:line="360" w:lineRule="auto"/>
        <w:ind w:left="420" w:leftChars="0" w:hanging="420" w:firstLineChars="0"/>
        <w:textAlignment w:val="auto"/>
        <w:rPr>
          <w:rFonts w:hint="eastAsia" w:ascii="仿宋" w:hAnsi="仿宋" w:eastAsia="仿宋" w:cs="仿宋"/>
          <w:b/>
          <w:color w:val="auto"/>
          <w:spacing w:val="20"/>
          <w:kern w:val="2"/>
          <w:sz w:val="28"/>
          <w:szCs w:val="28"/>
          <w:highlight w:val="none"/>
          <w:lang w:val="en-US" w:eastAsia="zh-CN" w:bidi="ar-SA"/>
        </w:rPr>
      </w:pPr>
      <w:r>
        <w:rPr>
          <w:rFonts w:hint="eastAsia" w:ascii="仿宋" w:hAnsi="仿宋" w:eastAsia="仿宋" w:cs="仿宋"/>
          <w:b/>
          <w:color w:val="auto"/>
          <w:spacing w:val="20"/>
          <w:kern w:val="2"/>
          <w:sz w:val="28"/>
          <w:szCs w:val="28"/>
          <w:highlight w:val="none"/>
          <w:lang w:val="en-US" w:eastAsia="zh-CN" w:bidi="ar-SA"/>
        </w:rPr>
        <w:t>八、订货与配送时间要求</w:t>
      </w:r>
    </w:p>
    <w:p w14:paraId="03ECCFF2">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1、订货说明</w:t>
      </w:r>
    </w:p>
    <w:p w14:paraId="3F267436">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甲方在每周最后两个工作日的18:00（星期四与星期五）之前，发出并确认食材订单，订单内容应说明清楚品名、数量、规格、质量和餐次等要求，乙方须按照甲方订货单要求按时保质保量，送货至甲方指定地点；特殊情况下，甲方需乙方在规定时间内将采购货物送到指定地点，乙方应无条件配合，并能确保准时送到。</w:t>
      </w:r>
    </w:p>
    <w:p w14:paraId="1F0C8E00">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2、配送要求</w:t>
      </w:r>
    </w:p>
    <w:p w14:paraId="2AB79883">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食材运抵指定地点后由乙方负责卸车并搬运至甲方指定地点，搬运食材时经过的过道、电梯等公共区域需保持整洁，若留有污渍需及时清理；服务过程中禁止乙方人员在甲方学校区域内吸烟。</w:t>
      </w:r>
    </w:p>
    <w:p w14:paraId="69A400B7">
      <w:pPr>
        <w:pStyle w:val="19"/>
        <w:keepNext w:val="0"/>
        <w:pageBreakBefore w:val="0"/>
        <w:widowControl w:val="0"/>
        <w:numPr>
          <w:ilvl w:val="0"/>
          <w:numId w:val="0"/>
        </w:numPr>
        <w:kinsoku/>
        <w:wordWrap/>
        <w:overflowPunct/>
        <w:topLinePunct w:val="0"/>
        <w:bidi w:val="0"/>
        <w:snapToGrid w:val="0"/>
        <w:spacing w:line="360" w:lineRule="auto"/>
        <w:ind w:left="420" w:leftChars="0" w:hanging="420" w:firstLineChars="0"/>
        <w:textAlignment w:val="auto"/>
        <w:rPr>
          <w:rFonts w:hint="eastAsia" w:ascii="仿宋" w:hAnsi="仿宋" w:eastAsia="仿宋" w:cs="仿宋"/>
          <w:b/>
          <w:color w:val="auto"/>
          <w:spacing w:val="20"/>
          <w:kern w:val="2"/>
          <w:sz w:val="28"/>
          <w:szCs w:val="28"/>
          <w:highlight w:val="none"/>
          <w:lang w:val="en-US" w:eastAsia="zh-CN" w:bidi="ar-SA"/>
        </w:rPr>
      </w:pPr>
      <w:r>
        <w:rPr>
          <w:rFonts w:hint="eastAsia" w:ascii="仿宋" w:hAnsi="仿宋" w:eastAsia="仿宋" w:cs="仿宋"/>
          <w:b/>
          <w:color w:val="auto"/>
          <w:spacing w:val="20"/>
          <w:kern w:val="2"/>
          <w:sz w:val="28"/>
          <w:szCs w:val="28"/>
          <w:highlight w:val="none"/>
          <w:lang w:val="en-US" w:eastAsia="zh-CN" w:bidi="ar-SA"/>
        </w:rPr>
        <w:t>九、服务要求</w:t>
      </w:r>
    </w:p>
    <w:p w14:paraId="412E8303">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1、基本要求</w:t>
      </w:r>
    </w:p>
    <w:p w14:paraId="6B40E742">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（1）乙方必须具有完善的相应制度、办法和保障措施；</w:t>
      </w:r>
    </w:p>
    <w:p w14:paraId="4CB761B3">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（2）乙方严格按政府有关卫生管理规定提供符合国家卫生标准的各类食品、食材，具有政府有关部门的合格证明，各类肉菜、食品，确保无变质变味食物。</w:t>
      </w:r>
    </w:p>
    <w:p w14:paraId="1CF3007F">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（3）乙方需服从甲方和食品监督部门的监督管理，配合甲方及时更新所提供的符合卫生监督部门的有效证明材料，包括但不限于营业执照、产品合格证等。</w:t>
      </w:r>
    </w:p>
    <w:p w14:paraId="3D7F28A3">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（4）乙方所送的食材及物资引起食用人身体不适、发生食物中毒等问题，经正规食品质量检验部门确定是乙方责任的，由乙方承担全部经济赔偿及法律责任。</w:t>
      </w:r>
    </w:p>
    <w:p w14:paraId="3E80E7DF">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5）乙方必须遵守国家规定的《中华人民共和国食品安全法》《中华人民共和国农产品质量安全法》等法律和行政法规的规定，提供的货品必须符合国家有关卫生标准，保质、保量、保鲜，严禁配送假冒、变质、过期的农副产品，对于验收不合格的货品，乙方必须无条件包退包换。</w:t>
      </w:r>
    </w:p>
    <w:p w14:paraId="200BA880">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2、服务要求</w:t>
      </w:r>
    </w:p>
    <w:p w14:paraId="7FB5B2A3">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1）本合同配送食材包括干货调料、包点、蛋品及冰鲜类食材（。乙方按照甲方提出的物品订货清单，不论数量多少（例如：500克以下），必须保证在规定的时间、地点送货。乙方对甲方提出的临时性服务要求也应按时、按质、按量将货品送到甲方指定地点；乙方所供应的货品必须安全卫生，承担送货途中的一切风险并提供完善的售后服务。</w:t>
      </w:r>
    </w:p>
    <w:p w14:paraId="3C6BB5AC">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（2）乙方对甲方提出的临时性食材配送服务要求应在收到甲方要求后</w:t>
      </w:r>
      <w:r>
        <w:rPr>
          <w:rFonts w:hint="eastAsia" w:ascii="仿宋" w:hAnsi="仿宋" w:eastAsia="仿宋" w:cs="仿宋"/>
          <w:b w:val="0"/>
          <w:color w:val="auto"/>
          <w:kern w:val="2"/>
          <w:sz w:val="28"/>
          <w:szCs w:val="28"/>
          <w:highlight w:val="none"/>
          <w:u w:val="single"/>
          <w:lang w:val="en-US" w:eastAsia="zh-CN" w:bidi="ar-SA"/>
        </w:rPr>
        <w:t xml:space="preserve">  </w:t>
      </w:r>
      <w:r>
        <w:rPr>
          <w:rFonts w:hint="eastAsia" w:ascii="仿宋" w:hAnsi="仿宋" w:eastAsia="仿宋" w:cs="仿宋"/>
          <w:b w:val="0"/>
          <w:color w:val="auto"/>
          <w:kern w:val="2"/>
          <w:sz w:val="28"/>
          <w:szCs w:val="28"/>
          <w:highlight w:val="none"/>
          <w:lang w:val="en-US" w:eastAsia="zh-CN" w:bidi="ar-SA"/>
        </w:rPr>
        <w:t>小时内按质、按量将货品送到甲方指定地点。</w:t>
      </w:r>
    </w:p>
    <w:p w14:paraId="04DA937E">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（3）乙方提供的货品必须符合国家食品卫生法规相关标准，保质、保量，不合格的货品，乙方必须包退包换。</w:t>
      </w:r>
    </w:p>
    <w:p w14:paraId="0A8A55D8">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（4）乙方提供的货品必须出示真实有效的检验合格报告。</w:t>
      </w:r>
    </w:p>
    <w:p w14:paraId="1778C79E">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（5）乙方每次送货应有相应的送货清单，且必须提供合法的进货单据。</w:t>
      </w:r>
    </w:p>
    <w:p w14:paraId="6B23374B">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（6）乙方提供的货品导致甲方有任何食物安全事件出现，由乙方承担全部责任及赔偿甲方一切损失，甲方保留法律追究权利。</w:t>
      </w:r>
    </w:p>
    <w:p w14:paraId="36E10378">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（7）乙方的供货价应包含货品交给甲方之前的一切费用，包括运输费、储存费等，并承担送货途中的一切风险。</w:t>
      </w:r>
    </w:p>
    <w:p w14:paraId="60C15DA7">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（8）乙方进入甲方范围内必须遵守甲方有关规定，不得影响甲方的正常工作，由于乙方的过失造成甲方直接经济损失则要负全部责任及赔偿甲方一切损失。</w:t>
      </w:r>
    </w:p>
    <w:p w14:paraId="0DA68B7F">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9）若遇台风、暴雨等意外原因造成的个别品种价格需临时调整，应通知甲方，并征得甲方同意后方可调整，每次送货按通知价格计算调整后的价格仅对当次送货订单有效，后续其他送货订单仍应按该周期确认的报价执行。甲方认为无需调整的，乙方仍应按该周期确认的报价送货结算。</w:t>
      </w:r>
    </w:p>
    <w:p w14:paraId="07AB6ADA">
      <w:pPr>
        <w:pStyle w:val="19"/>
        <w:keepNext w:val="0"/>
        <w:pageBreakBefore w:val="0"/>
        <w:widowControl w:val="0"/>
        <w:numPr>
          <w:ilvl w:val="0"/>
          <w:numId w:val="0"/>
        </w:numPr>
        <w:kinsoku/>
        <w:wordWrap/>
        <w:overflowPunct/>
        <w:topLinePunct w:val="0"/>
        <w:bidi w:val="0"/>
        <w:snapToGrid w:val="0"/>
        <w:spacing w:line="360" w:lineRule="auto"/>
        <w:ind w:left="420" w:leftChars="0" w:hanging="420" w:firstLineChars="0"/>
        <w:textAlignment w:val="auto"/>
        <w:rPr>
          <w:rFonts w:hint="eastAsia" w:ascii="仿宋" w:hAnsi="仿宋" w:eastAsia="仿宋" w:cs="仿宋"/>
          <w:b/>
          <w:color w:val="auto"/>
          <w:spacing w:val="20"/>
          <w:kern w:val="2"/>
          <w:sz w:val="28"/>
          <w:szCs w:val="28"/>
          <w:highlight w:val="none"/>
          <w:lang w:val="en-US" w:eastAsia="zh-CN" w:bidi="ar-SA"/>
        </w:rPr>
      </w:pPr>
      <w:r>
        <w:rPr>
          <w:rFonts w:hint="eastAsia" w:ascii="仿宋" w:hAnsi="仿宋" w:eastAsia="仿宋" w:cs="仿宋"/>
          <w:b/>
          <w:color w:val="auto"/>
          <w:spacing w:val="20"/>
          <w:kern w:val="2"/>
          <w:sz w:val="28"/>
          <w:szCs w:val="28"/>
          <w:highlight w:val="none"/>
          <w:lang w:val="en-US" w:eastAsia="zh-CN" w:bidi="ar-SA"/>
        </w:rPr>
        <w:t>十、供货要求</w:t>
      </w:r>
    </w:p>
    <w:p w14:paraId="11E3ADF3">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1、乙方所提供产品质量必须要符合行业标准要求，不得有掺假、变质、变味、过期等现象出现，严禁伪劣、假冒、无证不合格物品进入仓库。</w:t>
      </w:r>
    </w:p>
    <w:p w14:paraId="70463983">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2、乙方在供应过程中，如果发生出现质量问题或造成食物中毒，如变质等情况，经国家相关卫生检验部门查实后确属乙方责任，乙方应依法承担相关责任。</w:t>
      </w:r>
    </w:p>
    <w:p w14:paraId="09C6F1FD">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3、必须有检验合格证明，严禁存在有害、有毒、腐烂变质、酸败、霉变、生虫、污垢不洁、混有异物或其他感官性状异常的食品。</w:t>
      </w:r>
    </w:p>
    <w:p w14:paraId="372B195A">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4、副食品包装与标志要求：包装、容器（框、箱、袋）要求：清洁、干燥、牢固、透气，无污染、无异味、无霉变现象。标志：食品包装必须符合国家规范。食品不得存放在有害、有毒的容器内。食品包装上必须使用原产地标识，应注明：制造商名称和厂址、食品名称和重（容）量、生产日期和保质期限以及规格和“QS”认证或政府主管部门认定的认证标志等。</w:t>
      </w:r>
    </w:p>
    <w:p w14:paraId="4298ABB5">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5、食品供应链要求：所有食品的来源必须清晰，包装食品要有“QS”标志或政府主管部门认定的认证标志。</w:t>
      </w:r>
    </w:p>
    <w:p w14:paraId="65D0BD20">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6、运输要求：运输工具应清洁卫生无污染：食品运输必须采用符合卫生标准的外包装和运载工具，并且要保持清洁和定期消毒。运输车厢的内仓，包括地面、墙面和顶，应使用抗腐蚀、防潮，易清洁消毒的材料。车厢内无不良气味、异味；运输途中严防日晒、雨淋，注意通风散热；食品堆放科学合理，避免造成食品的交叉污染；如对温度有要求的食品应确定食品的温度，记录送货车辆温度，并记录存档。</w:t>
      </w:r>
    </w:p>
    <w:p w14:paraId="28D82059">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7、乙方必须严格按照投标描述的产品质量供货。并配合甲方完成相关食品安全检查要求。</w:t>
      </w:r>
    </w:p>
    <w:p w14:paraId="02F391DC">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8、乙方所供食材规格符合甲方提交的每次采购订单中明确的具体需求。</w:t>
      </w:r>
    </w:p>
    <w:p w14:paraId="732E6FCF">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9、乙方食材必须符合卫生要求，不得出现腐烂、变质、油脂酸败、霉变、生虫、污秽不洁、混有异物或者其他感官性状异常。在验收过程中，如发现食品质量问题，甲方有权拒收，并及时通知乙方，经双方确认后，乙方应立即向甲方重新配送。</w:t>
      </w:r>
    </w:p>
    <w:p w14:paraId="448F5ED9">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10、发现食品安全质量问题的处理：对危及人身安全的食品质量问题采取零容忍措施，如产品中发现重金属残留超标、腐败变质等一经发现，当日所送同批次产品全部退货。验收时凡属于规格、质量等问题的货品，乙方必须按照甲方要求包退包换，退补货品需在60分钟内补给，不能影响甲方正常供餐。若在加工食用前发现部分产品质量问题，乙方须将问题产品退货处理。</w:t>
      </w:r>
    </w:p>
    <w:p w14:paraId="2CDD08FE">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11、如乙方所配送食材造成人员食物中毒安全事故，经卫生检疫部门鉴定后证实属乙方责任，乙方承担全部法律责任及民事赔偿，以及依法承担由此产生的费用。</w:t>
      </w:r>
    </w:p>
    <w:p w14:paraId="3B85F1DA">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12、乙方需根据以上货品质量安全问题提供的完善的售后服务承诺，包括但不限于专线售后服务管理方案，专人服务，专人跟踪、服务时间安排、其它服务承诺等。</w:t>
      </w:r>
    </w:p>
    <w:p w14:paraId="1CF450B6">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13、乙方必须按照甲方要求的时间、数量品种、品质要求及协定的价格准时送货，经验收合格后签字确认，不能以任何理由推托，一旦影响到甲方饭堂的正常运转，乙方应承担相应的经济赔偿。</w:t>
      </w:r>
    </w:p>
    <w:p w14:paraId="1B038608">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14、乙方必须在双方约定的时间内将货物送到甲方指定的地点，运输费用由乙方承担，如出现不合格、损坏的情况，由乙方负责及时调换。除发生客观不可抗力的情况外，乙方不得推迟送货。如确需延迟送货的，乙方应在得知情况的同时告知甲方并征得甲方书面同意，由于乙方延迟造成甲方利益受损的，甲方有权要求乙方赔偿。</w:t>
      </w:r>
    </w:p>
    <w:p w14:paraId="3105164E">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15、乙方负责货品配送前的仓储，甲方不提供仓库。在甲方签收之前，货物的所有权和风险属于乙方，货物发生遗失、损坏由乙方负责。</w:t>
      </w:r>
    </w:p>
    <w:p w14:paraId="3736EF5B">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16、乙方需要严格按照甲方的订单配送货品，不得随意增减数量或改变品种。如因市场流通问题确实需要变更供货内容的，乙方应在得知情况的同时征得甲方同意后方可变更，否则，甲方有权拒收，由此产生的一切损失和费用由乙方承担。</w:t>
      </w:r>
    </w:p>
    <w:p w14:paraId="34B88C5C">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17、乙方不能按核定的供货价交付的某些货品、不能提供与其承诺相符的服务或乙方存在违反合同的行为，并且在甲方要求的期限内不予纠正的，将取消其配送资格并终止合同，乙方不得有异议，在甲方确定新食材供货商前，协助提供一家合资质的食材供货商作临时补给，并确保食材按甲方要求及时供应到位。此项下违约行为包括但不限于下列各项：</w:t>
      </w:r>
    </w:p>
    <w:p w14:paraId="33A3B4B6">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（1）乙方在收到甲方订货要求后，在承诺的供货时间内不能供货的。</w:t>
      </w:r>
    </w:p>
    <w:p w14:paraId="10C008DD">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（2）乙方未能提供承诺的服务的。</w:t>
      </w:r>
    </w:p>
    <w:p w14:paraId="1A9CCE5B">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（3）每月超过三次因数量或质量问题导致退换货品的。</w:t>
      </w:r>
    </w:p>
    <w:p w14:paraId="52D59BDF">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（4）乙方不能在约定时间内提供合法票据进行结算的。</w:t>
      </w:r>
    </w:p>
    <w:p w14:paraId="2349AB1A">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（5）乙方送货专员在甲方单位活动但不遵守甲方单位各项规章制度或做出有损甲方形象和利益的事情的。</w:t>
      </w:r>
    </w:p>
    <w:p w14:paraId="2051DDD3">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（6）乙方泄露甲方的信息的，泄密行为造成甲方损失的，乙方将承担由此产生的一切损失和法律责任。</w:t>
      </w:r>
    </w:p>
    <w:p w14:paraId="3DA504AA">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7）因配送原材料问题，发生师生食物中毒等食材安全责任事故；或在原材料配送过程中，经核实存在故意掺杂作假，销售劣质、有害过期或无证食品等违规行为的；或虽然基于过失发生上述情况，但经甲方规劝，或经教育主管部门、市场监督管理部门要求整改仍再次发生的的。</w:t>
      </w:r>
    </w:p>
    <w:p w14:paraId="7CB3723E">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（8）在经营过程中，存在转包、分包和挂靠经营行为的。</w:t>
      </w:r>
    </w:p>
    <w:p w14:paraId="04A38B87">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（9）乙方经营情况发生变化已不符合准入条件而无法在甲方给予的限期内（法律法规对该情形的期限另有强制性规定的，从其规定）重新符合准入条件。</w:t>
      </w:r>
    </w:p>
    <w:p w14:paraId="605F0906">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（10）若乙方无法按甲方要求供货时，甲方有权向市场其他机构开展采购，甲方不负违约责任；乙方无权对甲方的行为提出争议。甲方基于上述情况向其他主体开展采购的，不影响甲方解除权行使。</w:t>
      </w:r>
    </w:p>
    <w:p w14:paraId="5298B35F">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（11）乙方必须按要求完成食材配送，若有违反造成甲方停膳的，每停膳一天，乙方向甲方支付违约金人民币伍万元，并补偿由此造成的甲方损失。</w:t>
      </w:r>
    </w:p>
    <w:p w14:paraId="5B95551D">
      <w:pPr>
        <w:pStyle w:val="19"/>
        <w:keepNext w:val="0"/>
        <w:pageBreakBefore w:val="0"/>
        <w:widowControl w:val="0"/>
        <w:numPr>
          <w:ilvl w:val="0"/>
          <w:numId w:val="0"/>
        </w:numPr>
        <w:kinsoku/>
        <w:wordWrap/>
        <w:overflowPunct/>
        <w:topLinePunct w:val="0"/>
        <w:bidi w:val="0"/>
        <w:snapToGrid w:val="0"/>
        <w:spacing w:line="360" w:lineRule="auto"/>
        <w:ind w:left="420" w:leftChars="0" w:hanging="420" w:firstLineChars="0"/>
        <w:textAlignment w:val="auto"/>
        <w:rPr>
          <w:rFonts w:hint="eastAsia" w:ascii="仿宋" w:hAnsi="仿宋" w:eastAsia="仿宋" w:cs="仿宋"/>
          <w:b/>
          <w:color w:val="auto"/>
          <w:spacing w:val="20"/>
          <w:kern w:val="2"/>
          <w:sz w:val="28"/>
          <w:szCs w:val="28"/>
          <w:highlight w:val="none"/>
          <w:lang w:val="en-US" w:eastAsia="zh-CN" w:bidi="ar-SA"/>
        </w:rPr>
      </w:pPr>
      <w:r>
        <w:rPr>
          <w:rFonts w:hint="eastAsia" w:ascii="仿宋" w:hAnsi="仿宋" w:eastAsia="仿宋" w:cs="仿宋"/>
          <w:b/>
          <w:color w:val="auto"/>
          <w:spacing w:val="20"/>
          <w:kern w:val="2"/>
          <w:sz w:val="28"/>
          <w:szCs w:val="28"/>
          <w:highlight w:val="none"/>
          <w:lang w:val="en-US" w:eastAsia="zh-CN" w:bidi="ar-SA"/>
        </w:rPr>
        <w:t>十一、其他要求</w:t>
      </w:r>
    </w:p>
    <w:p w14:paraId="67B46BAD">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00" w:firstLineChars="200"/>
        <w:textAlignment w:val="auto"/>
        <w:rPr>
          <w:rFonts w:hint="eastAsia" w:ascii="仿宋" w:hAnsi="仿宋" w:eastAsia="仿宋" w:cs="仿宋"/>
          <w:b w:val="0"/>
          <w:color w:val="auto"/>
          <w:kern w:val="2"/>
          <w:sz w:val="30"/>
          <w:szCs w:val="30"/>
          <w:highlight w:val="none"/>
          <w:lang w:val="en-US" w:eastAsia="zh-CN" w:bidi="ar-SA"/>
        </w:rPr>
      </w:pPr>
      <w:r>
        <w:rPr>
          <w:rFonts w:hint="eastAsia" w:ascii="仿宋" w:hAnsi="仿宋" w:eastAsia="仿宋" w:cs="仿宋"/>
          <w:b w:val="0"/>
          <w:color w:val="auto"/>
          <w:kern w:val="2"/>
          <w:sz w:val="30"/>
          <w:szCs w:val="30"/>
          <w:highlight w:val="none"/>
          <w:lang w:val="en-US" w:eastAsia="zh-CN" w:bidi="ar-SA"/>
        </w:rPr>
        <w:t>1、乙方不得将中标项目转包或分包给他人，一经发现,甲方有权终止合同，由此产生的一切经济损失由乙方自行承担。</w:t>
      </w:r>
    </w:p>
    <w:p w14:paraId="2A10B544">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00" w:firstLineChars="200"/>
        <w:textAlignment w:val="auto"/>
        <w:rPr>
          <w:rFonts w:hint="eastAsia" w:ascii="仿宋" w:hAnsi="仿宋" w:eastAsia="仿宋" w:cs="仿宋"/>
          <w:b w:val="0"/>
          <w:color w:val="auto"/>
          <w:kern w:val="2"/>
          <w:sz w:val="30"/>
          <w:szCs w:val="30"/>
          <w:highlight w:val="none"/>
          <w:lang w:val="en-US" w:eastAsia="zh-CN" w:bidi="ar-SA"/>
        </w:rPr>
      </w:pPr>
      <w:r>
        <w:rPr>
          <w:rFonts w:hint="eastAsia" w:ascii="仿宋" w:hAnsi="仿宋" w:eastAsia="仿宋" w:cs="仿宋"/>
          <w:b w:val="0"/>
          <w:color w:val="auto"/>
          <w:kern w:val="2"/>
          <w:sz w:val="30"/>
          <w:szCs w:val="30"/>
          <w:highlight w:val="none"/>
          <w:lang w:val="en-US" w:eastAsia="zh-CN" w:bidi="ar-SA"/>
        </w:rPr>
        <w:t>2、乙方除不可抗力，不得因其他任何理由延迟送货。甲方如遇特殊情况需推迟送货，应提前通知乙方。因乙方原因延误交货日期的（甲方要求推迟的除外），甲方有权自行采购，并由甲方承担由此产生的一切损失和费用。</w:t>
      </w:r>
    </w:p>
    <w:p w14:paraId="38743F7D">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00" w:firstLineChars="200"/>
        <w:textAlignment w:val="auto"/>
        <w:rPr>
          <w:rFonts w:hint="eastAsia" w:ascii="仿宋" w:hAnsi="仿宋" w:eastAsia="仿宋" w:cs="仿宋"/>
          <w:b w:val="0"/>
          <w:color w:val="auto"/>
          <w:kern w:val="2"/>
          <w:sz w:val="30"/>
          <w:szCs w:val="30"/>
          <w:highlight w:val="none"/>
          <w:lang w:val="en-US" w:eastAsia="zh-CN" w:bidi="ar-SA"/>
        </w:rPr>
      </w:pPr>
      <w:r>
        <w:rPr>
          <w:rFonts w:hint="eastAsia" w:ascii="仿宋" w:hAnsi="仿宋" w:eastAsia="仿宋" w:cs="仿宋"/>
          <w:b w:val="0"/>
          <w:color w:val="auto"/>
          <w:kern w:val="2"/>
          <w:sz w:val="30"/>
          <w:szCs w:val="30"/>
          <w:highlight w:val="none"/>
          <w:lang w:val="en-US" w:eastAsia="zh-CN" w:bidi="ar-SA"/>
        </w:rPr>
        <w:t>3、乙方必须按甲方每次订购物品的数量、种类进行供货，不得出现短斤缺两，或故意多送、错送，否则乙方需自行承担相关后果。</w:t>
      </w:r>
    </w:p>
    <w:p w14:paraId="753D777C">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00" w:firstLineChars="200"/>
        <w:textAlignment w:val="auto"/>
        <w:rPr>
          <w:rFonts w:hint="eastAsia" w:ascii="仿宋" w:hAnsi="仿宋" w:eastAsia="仿宋" w:cs="仿宋"/>
          <w:b w:val="0"/>
          <w:color w:val="auto"/>
          <w:kern w:val="2"/>
          <w:sz w:val="30"/>
          <w:szCs w:val="30"/>
          <w:highlight w:val="none"/>
          <w:lang w:val="en-US" w:eastAsia="zh-CN" w:bidi="ar-SA"/>
        </w:rPr>
      </w:pPr>
      <w:r>
        <w:rPr>
          <w:rFonts w:hint="eastAsia" w:ascii="仿宋" w:hAnsi="仿宋" w:eastAsia="仿宋" w:cs="仿宋"/>
          <w:b w:val="0"/>
          <w:color w:val="auto"/>
          <w:kern w:val="2"/>
          <w:sz w:val="30"/>
          <w:szCs w:val="30"/>
          <w:highlight w:val="none"/>
          <w:lang w:val="en-US" w:eastAsia="zh-CN" w:bidi="ar-SA"/>
        </w:rPr>
        <w:t>4、如遇特殊接待任务或特殊时期工作要求的，乙方需无条件配合甲方的要求，增派人员、第一时间完成甲方交待的任务。</w:t>
      </w:r>
    </w:p>
    <w:p w14:paraId="64DAC006">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00" w:firstLineChars="200"/>
        <w:textAlignment w:val="auto"/>
        <w:rPr>
          <w:rFonts w:hint="eastAsia" w:ascii="仿宋" w:hAnsi="仿宋" w:eastAsia="仿宋" w:cs="仿宋"/>
          <w:b w:val="0"/>
          <w:color w:val="auto"/>
          <w:kern w:val="2"/>
          <w:sz w:val="30"/>
          <w:szCs w:val="30"/>
          <w:highlight w:val="none"/>
          <w:lang w:val="en-US" w:eastAsia="zh-CN" w:bidi="ar-SA"/>
        </w:rPr>
      </w:pPr>
      <w:r>
        <w:rPr>
          <w:rFonts w:hint="eastAsia" w:ascii="仿宋" w:hAnsi="仿宋" w:eastAsia="仿宋" w:cs="仿宋"/>
          <w:b w:val="0"/>
          <w:color w:val="auto"/>
          <w:kern w:val="2"/>
          <w:sz w:val="30"/>
          <w:szCs w:val="30"/>
          <w:highlight w:val="none"/>
          <w:lang w:val="en-US" w:eastAsia="zh-CN" w:bidi="ar-SA"/>
        </w:rPr>
        <w:t>5、乙方应具有固定的销售服务人员及运输能力，乙方服务人员具有食品安全相关专业能力，具有食品安全管理师/员证书，货品愿意接受相关质检单位的商品质量检测。乙方必须指派相对固定的人员完成货物配送服务，并需将配送人员的详细资料报甲方备案，货物配送人员必须遵纪守法、品行良好，无违法犯罪记录。</w:t>
      </w:r>
    </w:p>
    <w:p w14:paraId="432DCA1A">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00" w:firstLineChars="200"/>
        <w:textAlignment w:val="auto"/>
        <w:rPr>
          <w:rFonts w:hint="eastAsia" w:ascii="仿宋" w:hAnsi="仿宋" w:eastAsia="仿宋" w:cs="仿宋"/>
          <w:b w:val="0"/>
          <w:color w:val="auto"/>
          <w:kern w:val="2"/>
          <w:sz w:val="30"/>
          <w:szCs w:val="30"/>
          <w:highlight w:val="none"/>
          <w:lang w:val="en-US" w:eastAsia="zh-CN" w:bidi="ar-SA"/>
        </w:rPr>
      </w:pPr>
      <w:r>
        <w:rPr>
          <w:rFonts w:hint="eastAsia" w:ascii="仿宋" w:hAnsi="仿宋" w:eastAsia="仿宋" w:cs="仿宋"/>
          <w:b w:val="0"/>
          <w:color w:val="auto"/>
          <w:kern w:val="2"/>
          <w:sz w:val="30"/>
          <w:szCs w:val="30"/>
          <w:highlight w:val="none"/>
          <w:lang w:val="en-US" w:eastAsia="zh-CN" w:bidi="ar-SA"/>
        </w:rPr>
        <w:t>6、乙方应对本项目服务及服务人员制定相应的规章和管理制度，例如：服务标准、泄密处理、仪容仪表规范及人员奖惩制度等。</w:t>
      </w:r>
    </w:p>
    <w:p w14:paraId="242116EC">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00" w:firstLineChars="200"/>
        <w:textAlignment w:val="auto"/>
        <w:rPr>
          <w:rFonts w:hint="eastAsia" w:ascii="仿宋" w:hAnsi="仿宋" w:eastAsia="仿宋" w:cs="仿宋"/>
          <w:b w:val="0"/>
          <w:color w:val="auto"/>
          <w:kern w:val="2"/>
          <w:sz w:val="30"/>
          <w:szCs w:val="30"/>
          <w:highlight w:val="none"/>
          <w:lang w:val="en-US" w:eastAsia="zh-CN" w:bidi="ar-SA"/>
        </w:rPr>
      </w:pPr>
      <w:r>
        <w:rPr>
          <w:rFonts w:hint="eastAsia" w:ascii="仿宋" w:hAnsi="仿宋" w:eastAsia="仿宋" w:cs="仿宋"/>
          <w:b w:val="0"/>
          <w:color w:val="auto"/>
          <w:kern w:val="2"/>
          <w:sz w:val="30"/>
          <w:szCs w:val="30"/>
          <w:highlight w:val="none"/>
          <w:lang w:val="en-US" w:eastAsia="zh-CN" w:bidi="ar-SA"/>
        </w:rPr>
        <w:t>7、乙方针对食材仓储、分拣、配送环节中可能出现的突发情况（如突发停电、台风、暴雨、火灾等导致的仓储、分拣、配送困难或食材短缺；突发车辆故障、交通事故、临时封路等导致的配送困难等情形），这对上述情形应有相应的处置措施；针对食材流通和使用环节可能会出现的质量问题（如仓储、运具不达标致使食材变得不合格等），应有相应的处置措施；针对台风、暴雨等恶劣天气，应有相应的配送保障措施；针对配送人员在配送途中突发车辆故障、交通事故等情况，应有相应的人员替换保障措施。</w:t>
      </w:r>
    </w:p>
    <w:p w14:paraId="6868E744">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00" w:firstLineChars="200"/>
        <w:textAlignment w:val="auto"/>
        <w:rPr>
          <w:rFonts w:hint="eastAsia" w:ascii="仿宋" w:hAnsi="仿宋" w:eastAsia="仿宋" w:cs="仿宋"/>
          <w:b w:val="0"/>
          <w:color w:val="auto"/>
          <w:kern w:val="2"/>
          <w:sz w:val="30"/>
          <w:szCs w:val="30"/>
          <w:highlight w:val="none"/>
          <w:lang w:val="en-US" w:eastAsia="zh-CN" w:bidi="ar-SA"/>
        </w:rPr>
      </w:pPr>
      <w:r>
        <w:rPr>
          <w:rFonts w:hint="eastAsia" w:ascii="仿宋" w:hAnsi="仿宋" w:eastAsia="仿宋" w:cs="仿宋"/>
          <w:b w:val="0"/>
          <w:color w:val="auto"/>
          <w:kern w:val="2"/>
          <w:sz w:val="30"/>
          <w:szCs w:val="30"/>
          <w:highlight w:val="none"/>
          <w:lang w:val="en-US" w:eastAsia="zh-CN" w:bidi="ar-SA"/>
        </w:rPr>
        <w:t>8、针对项目履约中的突发情况（如：食品安全事故、临时配送任务等甲方要求的其他情形），供应商需在接到甲方通知后</w:t>
      </w:r>
      <w:r>
        <w:rPr>
          <w:rFonts w:hint="eastAsia" w:ascii="仿宋" w:hAnsi="仿宋" w:eastAsia="仿宋" w:cs="仿宋"/>
          <w:b w:val="0"/>
          <w:color w:val="auto"/>
          <w:kern w:val="2"/>
          <w:sz w:val="28"/>
          <w:szCs w:val="28"/>
          <w:highlight w:val="none"/>
          <w:u w:val="single"/>
          <w:lang w:val="en-US" w:eastAsia="zh-CN" w:bidi="ar-SA"/>
        </w:rPr>
        <w:t xml:space="preserve">  </w:t>
      </w:r>
      <w:r>
        <w:rPr>
          <w:rFonts w:hint="eastAsia" w:ascii="仿宋" w:hAnsi="仿宋" w:eastAsia="仿宋" w:cs="仿宋"/>
          <w:b w:val="0"/>
          <w:color w:val="auto"/>
          <w:kern w:val="2"/>
          <w:sz w:val="30"/>
          <w:szCs w:val="30"/>
          <w:highlight w:val="none"/>
          <w:lang w:val="en-US" w:eastAsia="zh-CN" w:bidi="ar-SA"/>
        </w:rPr>
        <w:t>小时内响应并到达甲方指定地点。</w:t>
      </w:r>
    </w:p>
    <w:p w14:paraId="7E2FF48D">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00" w:firstLineChars="200"/>
        <w:textAlignment w:val="auto"/>
        <w:rPr>
          <w:rFonts w:hint="default" w:ascii="仿宋" w:hAnsi="仿宋" w:eastAsia="仿宋" w:cs="仿宋"/>
          <w:b w:val="0"/>
          <w:color w:val="auto"/>
          <w:kern w:val="2"/>
          <w:sz w:val="30"/>
          <w:szCs w:val="30"/>
          <w:highlight w:val="none"/>
          <w:lang w:val="en-US" w:eastAsia="zh-CN" w:bidi="ar-SA"/>
        </w:rPr>
      </w:pPr>
      <w:r>
        <w:rPr>
          <w:rFonts w:hint="eastAsia" w:ascii="仿宋" w:hAnsi="仿宋" w:eastAsia="仿宋" w:cs="仿宋"/>
          <w:b w:val="0"/>
          <w:color w:val="auto"/>
          <w:kern w:val="2"/>
          <w:sz w:val="30"/>
          <w:szCs w:val="30"/>
          <w:highlight w:val="none"/>
          <w:lang w:val="en-US" w:eastAsia="zh-CN" w:bidi="ar-SA"/>
        </w:rPr>
        <w:t>9、因本项目为食材配送服务，可能因疏忽或过失致使食物中毒或其他食源性疾患或因食物中掺有异物，造成人身损害或财产损失，为保证甲方权益，乙方须为甲方购买食品安全责任保险，保险额度为</w:t>
      </w:r>
      <w:r>
        <w:rPr>
          <w:rFonts w:hint="eastAsia" w:ascii="仿宋" w:hAnsi="仿宋" w:eastAsia="仿宋" w:cs="仿宋"/>
          <w:b w:val="0"/>
          <w:color w:val="auto"/>
          <w:kern w:val="2"/>
          <w:sz w:val="30"/>
          <w:szCs w:val="30"/>
          <w:highlight w:val="none"/>
          <w:u w:val="single"/>
          <w:lang w:val="en-US" w:eastAsia="zh-CN" w:bidi="ar-SA"/>
        </w:rPr>
        <w:t xml:space="preserve">     </w:t>
      </w:r>
      <w:r>
        <w:rPr>
          <w:rFonts w:hint="eastAsia" w:ascii="仿宋" w:hAnsi="仿宋" w:eastAsia="仿宋" w:cs="仿宋"/>
          <w:b w:val="0"/>
          <w:color w:val="auto"/>
          <w:kern w:val="2"/>
          <w:sz w:val="30"/>
          <w:szCs w:val="30"/>
          <w:highlight w:val="none"/>
          <w:lang w:val="en-US" w:eastAsia="zh-CN" w:bidi="ar-SA"/>
        </w:rPr>
        <w:t>万元，保险费由乙方承担，保险承保期限须涵盖本合同约定的服务期，本合同签订后须将保单递交至甲方处存档待查。</w:t>
      </w:r>
    </w:p>
    <w:p w14:paraId="3D60A07B">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0" w:firstLineChars="0"/>
        <w:textAlignment w:val="auto"/>
        <w:rPr>
          <w:rFonts w:hint="eastAsia" w:ascii="仿宋" w:hAnsi="仿宋" w:eastAsia="仿宋" w:cs="仿宋"/>
          <w:b/>
          <w:color w:val="auto"/>
          <w:spacing w:val="0"/>
          <w:kern w:val="2"/>
          <w:sz w:val="28"/>
          <w:szCs w:val="28"/>
          <w:highlight w:val="none"/>
          <w:lang w:val="en-US" w:eastAsia="zh-CN" w:bidi="ar-SA"/>
        </w:rPr>
      </w:pPr>
      <w:r>
        <w:rPr>
          <w:rFonts w:hint="eastAsia" w:ascii="仿宋" w:hAnsi="仿宋" w:eastAsia="仿宋" w:cs="仿宋"/>
          <w:b/>
          <w:color w:val="auto"/>
          <w:spacing w:val="0"/>
          <w:kern w:val="2"/>
          <w:sz w:val="28"/>
          <w:szCs w:val="28"/>
          <w:highlight w:val="none"/>
          <w:lang w:val="en-US" w:eastAsia="zh-CN" w:bidi="ar-SA"/>
        </w:rPr>
        <w:t>十二、考核评价方法（详见合同附件2：《食材配送考核表》）</w:t>
      </w:r>
    </w:p>
    <w:p w14:paraId="02E518BF">
      <w:pPr>
        <w:pStyle w:val="19"/>
        <w:keepNext w:val="0"/>
        <w:pageBreakBefore w:val="0"/>
        <w:widowControl w:val="0"/>
        <w:numPr>
          <w:ilvl w:val="0"/>
          <w:numId w:val="0"/>
        </w:numPr>
        <w:kinsoku/>
        <w:wordWrap/>
        <w:overflowPunct/>
        <w:topLinePunct w:val="0"/>
        <w:bidi w:val="0"/>
        <w:snapToGrid w:val="0"/>
        <w:spacing w:line="360" w:lineRule="auto"/>
        <w:ind w:left="420" w:leftChars="0" w:hanging="420" w:firstLineChars="0"/>
        <w:textAlignment w:val="auto"/>
        <w:rPr>
          <w:rFonts w:hint="eastAsia" w:ascii="仿宋" w:hAnsi="仿宋" w:eastAsia="仿宋" w:cs="仿宋"/>
          <w:b/>
          <w:color w:val="auto"/>
          <w:spacing w:val="20"/>
          <w:sz w:val="28"/>
          <w:szCs w:val="28"/>
          <w:highlight w:val="none"/>
        </w:rPr>
      </w:pPr>
      <w:r>
        <w:rPr>
          <w:rFonts w:hint="eastAsia" w:ascii="仿宋" w:hAnsi="仿宋" w:eastAsia="仿宋" w:cs="仿宋"/>
          <w:b/>
          <w:color w:val="auto"/>
          <w:spacing w:val="0"/>
          <w:kern w:val="2"/>
          <w:sz w:val="28"/>
          <w:szCs w:val="28"/>
          <w:highlight w:val="none"/>
          <w:lang w:val="en-US" w:eastAsia="zh-CN" w:bidi="ar-SA"/>
        </w:rPr>
        <w:t>十三</w:t>
      </w:r>
      <w:r>
        <w:rPr>
          <w:rFonts w:hint="eastAsia" w:ascii="仿宋" w:hAnsi="仿宋" w:eastAsia="仿宋" w:cs="仿宋"/>
          <w:b/>
          <w:color w:val="auto"/>
          <w:spacing w:val="20"/>
          <w:kern w:val="2"/>
          <w:sz w:val="28"/>
          <w:szCs w:val="28"/>
          <w:highlight w:val="none"/>
          <w:lang w:val="en-US" w:eastAsia="zh-CN" w:bidi="ar-SA"/>
        </w:rPr>
        <w:t>、</w:t>
      </w:r>
      <w:r>
        <w:rPr>
          <w:rFonts w:hint="eastAsia" w:ascii="仿宋" w:hAnsi="仿宋" w:eastAsia="仿宋" w:cs="仿宋"/>
          <w:b/>
          <w:color w:val="auto"/>
          <w:spacing w:val="20"/>
          <w:sz w:val="28"/>
          <w:szCs w:val="28"/>
          <w:highlight w:val="none"/>
        </w:rPr>
        <w:t>付款</w:t>
      </w:r>
    </w:p>
    <w:p w14:paraId="72E66D69">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u w:val="none"/>
        </w:rPr>
      </w:pPr>
      <w:r>
        <w:rPr>
          <w:rFonts w:hint="eastAsia" w:ascii="仿宋" w:hAnsi="仿宋" w:eastAsia="仿宋" w:cs="仿宋"/>
          <w:color w:val="auto"/>
          <w:kern w:val="2"/>
          <w:sz w:val="28"/>
          <w:szCs w:val="28"/>
          <w:highlight w:val="none"/>
          <w:lang w:val="en-US" w:eastAsia="zh-CN" w:bidi="ar-SA"/>
        </w:rPr>
        <w:t>1、</w:t>
      </w:r>
      <w:r>
        <w:rPr>
          <w:rFonts w:hint="eastAsia" w:ascii="仿宋" w:hAnsi="仿宋" w:eastAsia="仿宋" w:cs="仿宋"/>
          <w:color w:val="auto"/>
          <w:sz w:val="28"/>
          <w:szCs w:val="28"/>
          <w:highlight w:val="none"/>
        </w:rPr>
        <w:t>服务期：</w:t>
      </w:r>
      <w:r>
        <w:rPr>
          <w:rFonts w:hint="eastAsia" w:ascii="仿宋" w:hAnsi="仿宋" w:eastAsia="仿宋" w:cs="仿宋"/>
          <w:color w:val="auto"/>
          <w:sz w:val="28"/>
          <w:szCs w:val="28"/>
          <w:highlight w:val="none"/>
          <w:u w:val="none"/>
          <w:lang w:val="en-US" w:eastAsia="zh-CN"/>
        </w:rPr>
        <w:t>自合同签订之日起3年或本合同金额（¥5,500,000.00）使用完毕，以其中一项先到达的为止。</w:t>
      </w:r>
    </w:p>
    <w:p w14:paraId="61244695">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FF0000"/>
          <w:sz w:val="28"/>
          <w:szCs w:val="28"/>
          <w:highlight w:val="none"/>
          <w:lang w:eastAsia="zh-CN"/>
        </w:rPr>
      </w:pPr>
      <w:r>
        <w:rPr>
          <w:rFonts w:hint="eastAsia" w:ascii="仿宋" w:hAnsi="仿宋" w:eastAsia="仿宋" w:cs="仿宋"/>
          <w:color w:val="auto"/>
          <w:kern w:val="2"/>
          <w:sz w:val="28"/>
          <w:szCs w:val="28"/>
          <w:highlight w:val="none"/>
          <w:lang w:val="en-US" w:eastAsia="zh-CN" w:bidi="ar-SA"/>
        </w:rPr>
        <w:t>2、</w:t>
      </w:r>
      <w:r>
        <w:rPr>
          <w:rFonts w:hint="eastAsia" w:ascii="仿宋" w:hAnsi="仿宋" w:eastAsia="仿宋" w:cs="仿宋"/>
          <w:color w:val="auto"/>
          <w:sz w:val="28"/>
          <w:szCs w:val="28"/>
          <w:highlight w:val="none"/>
        </w:rPr>
        <w:t>每月10日前</w:t>
      </w:r>
      <w:r>
        <w:rPr>
          <w:rFonts w:hint="eastAsia" w:ascii="仿宋" w:hAnsi="仿宋" w:eastAsia="仿宋" w:cs="仿宋"/>
          <w:color w:val="auto"/>
          <w:sz w:val="28"/>
          <w:szCs w:val="28"/>
          <w:highlight w:val="none"/>
          <w:lang w:val="en-US" w:eastAsia="zh-CN"/>
        </w:rPr>
        <w:t>乙方</w:t>
      </w:r>
      <w:r>
        <w:rPr>
          <w:rFonts w:hint="eastAsia" w:ascii="仿宋" w:hAnsi="仿宋" w:eastAsia="仿宋" w:cs="仿宋"/>
          <w:color w:val="auto"/>
          <w:sz w:val="28"/>
          <w:szCs w:val="28"/>
          <w:highlight w:val="none"/>
        </w:rPr>
        <w:t>凭经</w:t>
      </w:r>
      <w:r>
        <w:rPr>
          <w:rFonts w:hint="eastAsia" w:ascii="仿宋" w:hAnsi="仿宋" w:eastAsia="仿宋" w:cs="仿宋"/>
          <w:color w:val="auto"/>
          <w:sz w:val="28"/>
          <w:szCs w:val="28"/>
          <w:highlight w:val="none"/>
          <w:lang w:val="en-US" w:eastAsia="zh-CN"/>
        </w:rPr>
        <w:t>甲方</w:t>
      </w:r>
      <w:r>
        <w:rPr>
          <w:rFonts w:hint="eastAsia" w:ascii="仿宋" w:hAnsi="仿宋" w:eastAsia="仿宋" w:cs="仿宋"/>
          <w:color w:val="auto"/>
          <w:sz w:val="28"/>
          <w:szCs w:val="28"/>
          <w:highlight w:val="none"/>
        </w:rPr>
        <w:t>签字确认的上月每日验收登记表（须列明配送时间、规格、质量、数量及价格等信息）、《食材配送考核表》、等额合规发票及本项目合同向</w:t>
      </w:r>
      <w:r>
        <w:rPr>
          <w:rFonts w:hint="eastAsia" w:ascii="仿宋" w:hAnsi="仿宋" w:eastAsia="仿宋" w:cs="仿宋"/>
          <w:color w:val="auto"/>
          <w:sz w:val="28"/>
          <w:szCs w:val="28"/>
          <w:highlight w:val="none"/>
          <w:lang w:val="en-US" w:eastAsia="zh-CN"/>
        </w:rPr>
        <w:t>甲方</w:t>
      </w:r>
      <w:r>
        <w:rPr>
          <w:rFonts w:hint="eastAsia" w:ascii="仿宋" w:hAnsi="仿宋" w:eastAsia="仿宋" w:cs="仿宋"/>
          <w:color w:val="auto"/>
          <w:sz w:val="28"/>
          <w:szCs w:val="28"/>
          <w:highlight w:val="none"/>
        </w:rPr>
        <w:t>请款，请款资料中收款方、发票出具方、合同乙方均必须与</w:t>
      </w:r>
      <w:r>
        <w:rPr>
          <w:rFonts w:hint="eastAsia" w:ascii="仿宋" w:hAnsi="仿宋" w:eastAsia="仿宋" w:cs="仿宋"/>
          <w:color w:val="auto"/>
          <w:sz w:val="28"/>
          <w:szCs w:val="28"/>
          <w:highlight w:val="none"/>
          <w:lang w:val="en-US" w:eastAsia="zh-CN"/>
        </w:rPr>
        <w:t>乙方</w:t>
      </w:r>
      <w:r>
        <w:rPr>
          <w:rFonts w:hint="eastAsia" w:ascii="仿宋" w:hAnsi="仿宋" w:eastAsia="仿宋" w:cs="仿宋"/>
          <w:color w:val="auto"/>
          <w:sz w:val="28"/>
          <w:szCs w:val="28"/>
          <w:highlight w:val="none"/>
        </w:rPr>
        <w:t>名称一致。</w:t>
      </w:r>
      <w:r>
        <w:rPr>
          <w:rFonts w:hint="eastAsia" w:ascii="仿宋" w:hAnsi="仿宋" w:eastAsia="仿宋" w:cs="仿宋"/>
          <w:color w:val="auto"/>
          <w:sz w:val="28"/>
          <w:szCs w:val="28"/>
          <w:highlight w:val="none"/>
          <w:lang w:val="en-US" w:eastAsia="zh-CN"/>
        </w:rPr>
        <w:t>甲方</w:t>
      </w:r>
      <w:r>
        <w:rPr>
          <w:rFonts w:hint="eastAsia" w:ascii="仿宋" w:hAnsi="仿宋" w:eastAsia="仿宋" w:cs="仿宋"/>
          <w:color w:val="auto"/>
          <w:sz w:val="28"/>
          <w:szCs w:val="28"/>
          <w:highlight w:val="none"/>
        </w:rPr>
        <w:t>收到合格请款资料后10个工作日内根据</w:t>
      </w:r>
      <w:r>
        <w:rPr>
          <w:rFonts w:hint="eastAsia" w:ascii="仿宋" w:hAnsi="仿宋" w:eastAsia="仿宋" w:cs="仿宋"/>
          <w:color w:val="auto"/>
          <w:sz w:val="28"/>
          <w:szCs w:val="28"/>
          <w:highlight w:val="none"/>
          <w:lang w:val="en-US" w:eastAsia="zh-CN"/>
        </w:rPr>
        <w:t>乙方</w:t>
      </w:r>
      <w:r>
        <w:rPr>
          <w:rFonts w:hint="eastAsia" w:ascii="仿宋" w:hAnsi="仿宋" w:eastAsia="仿宋" w:cs="仿宋"/>
          <w:color w:val="auto"/>
          <w:sz w:val="28"/>
          <w:szCs w:val="28"/>
          <w:highlight w:val="none"/>
        </w:rPr>
        <w:t>上月食材配送考核得分情况按约定扣减后支付对应服务费。计算方式为：最终服务费=结算价格×采购数量×（1-考核扣除比例）。</w:t>
      </w:r>
    </w:p>
    <w:p w14:paraId="213E09E8">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default"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3、甲方在本合同项下支付的全部价款为含增值税金额，甲方不再另行向乙方支付增值税及相关附加税费。</w:t>
      </w:r>
    </w:p>
    <w:p w14:paraId="3E51C602">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2"/>
          <w:sz w:val="28"/>
          <w:szCs w:val="28"/>
          <w:highlight w:val="none"/>
          <w:lang w:val="en-US" w:eastAsia="zh-CN" w:bidi="ar-SA"/>
        </w:rPr>
        <w:t>4、</w:t>
      </w:r>
      <w:r>
        <w:rPr>
          <w:rFonts w:hint="eastAsia" w:ascii="仿宋" w:hAnsi="仿宋" w:eastAsia="仿宋" w:cs="仿宋"/>
          <w:color w:val="auto"/>
          <w:sz w:val="28"/>
          <w:szCs w:val="28"/>
          <w:highlight w:val="none"/>
        </w:rPr>
        <w:t>根据现行税法规定对乙方或其雇员征收的与本合同有关的一切税费均应由乙方负担。</w:t>
      </w:r>
    </w:p>
    <w:p w14:paraId="78BF7307">
      <w:pPr>
        <w:pStyle w:val="19"/>
        <w:keepNext w:val="0"/>
        <w:pageBreakBefore w:val="0"/>
        <w:widowControl w:val="0"/>
        <w:numPr>
          <w:ilvl w:val="0"/>
          <w:numId w:val="0"/>
        </w:numPr>
        <w:kinsoku/>
        <w:wordWrap/>
        <w:overflowPunct/>
        <w:topLinePunct w:val="0"/>
        <w:bidi w:val="0"/>
        <w:snapToGrid w:val="0"/>
        <w:spacing w:line="360" w:lineRule="auto"/>
        <w:ind w:left="420" w:leftChars="0" w:hanging="420" w:firstLineChars="0"/>
        <w:textAlignment w:val="auto"/>
        <w:rPr>
          <w:rFonts w:hint="eastAsia" w:ascii="仿宋" w:hAnsi="仿宋" w:eastAsia="仿宋" w:cs="仿宋"/>
          <w:b/>
          <w:color w:val="auto"/>
          <w:spacing w:val="20"/>
          <w:sz w:val="28"/>
          <w:szCs w:val="28"/>
          <w:highlight w:val="none"/>
        </w:rPr>
      </w:pPr>
      <w:r>
        <w:rPr>
          <w:rFonts w:hint="eastAsia" w:ascii="仿宋" w:hAnsi="仿宋" w:eastAsia="仿宋" w:cs="仿宋"/>
          <w:b/>
          <w:color w:val="auto"/>
          <w:spacing w:val="0"/>
          <w:kern w:val="2"/>
          <w:sz w:val="28"/>
          <w:szCs w:val="28"/>
          <w:highlight w:val="none"/>
          <w:lang w:val="en-US" w:eastAsia="zh-CN" w:bidi="ar-SA"/>
        </w:rPr>
        <w:t>十四</w:t>
      </w:r>
      <w:r>
        <w:rPr>
          <w:rFonts w:hint="eastAsia" w:ascii="仿宋" w:hAnsi="仿宋" w:eastAsia="仿宋" w:cs="仿宋"/>
          <w:b/>
          <w:color w:val="auto"/>
          <w:spacing w:val="20"/>
          <w:kern w:val="2"/>
          <w:sz w:val="28"/>
          <w:szCs w:val="28"/>
          <w:highlight w:val="none"/>
          <w:lang w:val="en-US" w:eastAsia="zh-CN" w:bidi="ar-SA"/>
        </w:rPr>
        <w:t>、</w:t>
      </w:r>
      <w:r>
        <w:rPr>
          <w:rFonts w:hint="eastAsia" w:ascii="仿宋" w:hAnsi="仿宋" w:eastAsia="仿宋" w:cs="仿宋"/>
          <w:b/>
          <w:color w:val="auto"/>
          <w:spacing w:val="20"/>
          <w:sz w:val="28"/>
          <w:szCs w:val="28"/>
          <w:highlight w:val="none"/>
        </w:rPr>
        <w:t>分包与转包</w:t>
      </w:r>
    </w:p>
    <w:p w14:paraId="62CDE2E1">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严禁转包，未经甲方书面同意不得分包</w:t>
      </w:r>
      <w:r>
        <w:rPr>
          <w:rFonts w:hint="eastAsia" w:ascii="仿宋" w:hAnsi="仿宋" w:eastAsia="仿宋" w:cs="仿宋"/>
          <w:color w:val="auto"/>
          <w:sz w:val="28"/>
          <w:szCs w:val="28"/>
          <w:highlight w:val="none"/>
          <w:lang w:eastAsia="zh-CN"/>
        </w:rPr>
        <w:t>。</w:t>
      </w:r>
    </w:p>
    <w:p w14:paraId="0100157F">
      <w:pPr>
        <w:pStyle w:val="19"/>
        <w:keepNext w:val="0"/>
        <w:pageBreakBefore w:val="0"/>
        <w:widowControl w:val="0"/>
        <w:numPr>
          <w:ilvl w:val="0"/>
          <w:numId w:val="0"/>
        </w:numPr>
        <w:kinsoku/>
        <w:wordWrap/>
        <w:overflowPunct/>
        <w:topLinePunct w:val="0"/>
        <w:bidi w:val="0"/>
        <w:snapToGrid w:val="0"/>
        <w:spacing w:line="360" w:lineRule="auto"/>
        <w:ind w:left="420" w:leftChars="0" w:hanging="420" w:firstLineChars="0"/>
        <w:textAlignment w:val="auto"/>
        <w:rPr>
          <w:rFonts w:hint="eastAsia" w:ascii="仿宋" w:hAnsi="仿宋" w:eastAsia="仿宋" w:cs="仿宋"/>
          <w:b/>
          <w:color w:val="auto"/>
          <w:spacing w:val="20"/>
          <w:sz w:val="28"/>
          <w:szCs w:val="28"/>
          <w:highlight w:val="none"/>
        </w:rPr>
      </w:pPr>
      <w:r>
        <w:rPr>
          <w:rFonts w:hint="eastAsia" w:ascii="仿宋" w:hAnsi="仿宋" w:eastAsia="仿宋" w:cs="仿宋"/>
          <w:b/>
          <w:color w:val="auto"/>
          <w:spacing w:val="0"/>
          <w:kern w:val="2"/>
          <w:sz w:val="28"/>
          <w:szCs w:val="28"/>
          <w:highlight w:val="none"/>
          <w:lang w:val="en-US" w:eastAsia="zh-CN" w:bidi="ar-SA"/>
        </w:rPr>
        <w:t>十五</w:t>
      </w:r>
      <w:r>
        <w:rPr>
          <w:rFonts w:hint="eastAsia" w:ascii="仿宋" w:hAnsi="仿宋" w:eastAsia="仿宋" w:cs="仿宋"/>
          <w:b/>
          <w:color w:val="auto"/>
          <w:spacing w:val="20"/>
          <w:kern w:val="2"/>
          <w:sz w:val="28"/>
          <w:szCs w:val="28"/>
          <w:highlight w:val="none"/>
          <w:lang w:val="en-US" w:eastAsia="zh-CN" w:bidi="ar-SA"/>
        </w:rPr>
        <w:t>、</w:t>
      </w:r>
      <w:r>
        <w:rPr>
          <w:rFonts w:hint="eastAsia" w:ascii="仿宋" w:hAnsi="仿宋" w:eastAsia="仿宋" w:cs="仿宋"/>
          <w:b/>
          <w:color w:val="auto"/>
          <w:spacing w:val="20"/>
          <w:sz w:val="28"/>
          <w:szCs w:val="28"/>
          <w:highlight w:val="none"/>
        </w:rPr>
        <w:t>违约责任</w:t>
      </w:r>
    </w:p>
    <w:p w14:paraId="071B11E4">
      <w:pPr>
        <w:pStyle w:val="27"/>
        <w:keepNext w:val="0"/>
        <w:keepLines w:val="0"/>
        <w:pageBreakBefore w:val="0"/>
        <w:widowControl w:val="0"/>
        <w:numPr>
          <w:ilvl w:val="0"/>
          <w:numId w:val="0"/>
        </w:numPr>
        <w:tabs>
          <w:tab w:val="left" w:pos="84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b w:val="0"/>
          <w:color w:val="auto"/>
          <w:kern w:val="2"/>
          <w:sz w:val="28"/>
          <w:szCs w:val="28"/>
          <w:highlight w:val="none"/>
          <w:lang w:val="en-US" w:eastAsia="zh-CN" w:bidi="ar-SA"/>
        </w:rPr>
        <w:t>1、</w:t>
      </w:r>
      <w:r>
        <w:rPr>
          <w:rFonts w:hint="eastAsia" w:ascii="仿宋" w:hAnsi="仿宋" w:eastAsia="仿宋" w:cs="仿宋"/>
          <w:color w:val="auto"/>
          <w:sz w:val="28"/>
          <w:szCs w:val="28"/>
          <w:highlight w:val="none"/>
        </w:rPr>
        <w:t>乙方违反合同及招标文件约定的有关义务，对甲方造成经济损失的，应给予甲方经济赔偿；如造成重大损失的，甲方有权终止合同。</w:t>
      </w:r>
    </w:p>
    <w:p w14:paraId="7BA6F990">
      <w:pPr>
        <w:pStyle w:val="27"/>
        <w:keepNext w:val="0"/>
        <w:keepLines w:val="0"/>
        <w:pageBreakBefore w:val="0"/>
        <w:widowControl w:val="0"/>
        <w:numPr>
          <w:ilvl w:val="0"/>
          <w:numId w:val="0"/>
        </w:numPr>
        <w:tabs>
          <w:tab w:val="left" w:pos="84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b w:val="0"/>
          <w:color w:val="auto"/>
          <w:kern w:val="2"/>
          <w:sz w:val="28"/>
          <w:szCs w:val="28"/>
          <w:highlight w:val="none"/>
          <w:lang w:val="en-US" w:eastAsia="zh-CN" w:bidi="ar-SA"/>
        </w:rPr>
        <w:t>2、</w:t>
      </w:r>
      <w:r>
        <w:rPr>
          <w:rFonts w:hint="eastAsia" w:ascii="仿宋" w:hAnsi="仿宋" w:eastAsia="仿宋" w:cs="仿宋"/>
          <w:color w:val="auto"/>
          <w:sz w:val="28"/>
          <w:szCs w:val="28"/>
          <w:highlight w:val="none"/>
        </w:rPr>
        <w:t>除合同规定外，如果乙方没有按照合同规定的时间交付或完成，甲方可要求乙方支付违约金。从逾期之日起每日按本合同总价</w:t>
      </w:r>
      <w:r>
        <w:rPr>
          <w:rFonts w:hint="eastAsia" w:ascii="仿宋" w:hAnsi="仿宋" w:eastAsia="仿宋" w:cs="仿宋"/>
          <w:color w:val="auto"/>
          <w:sz w:val="28"/>
          <w:szCs w:val="28"/>
          <w:highlight w:val="none"/>
          <w:u w:val="single"/>
        </w:rPr>
        <w:t xml:space="preserve"> 3 </w:t>
      </w:r>
      <w:r>
        <w:rPr>
          <w:rFonts w:hint="eastAsia" w:ascii="仿宋" w:hAnsi="仿宋" w:eastAsia="仿宋" w:cs="仿宋"/>
          <w:color w:val="auto"/>
          <w:sz w:val="28"/>
          <w:szCs w:val="28"/>
          <w:highlight w:val="none"/>
        </w:rPr>
        <w:t>‰的数额向甲方支付违约金；逾期15天或以上的，甲方有权终止合同，要求乙方一次性支付合同总金额</w:t>
      </w:r>
      <w:r>
        <w:rPr>
          <w:rFonts w:hint="eastAsia" w:ascii="仿宋" w:hAnsi="仿宋" w:eastAsia="仿宋" w:cs="仿宋"/>
          <w:color w:val="auto"/>
          <w:sz w:val="28"/>
          <w:szCs w:val="28"/>
          <w:highlight w:val="none"/>
          <w:u w:val="single"/>
        </w:rPr>
        <w:t xml:space="preserve"> 20 %</w:t>
      </w:r>
      <w:r>
        <w:rPr>
          <w:rFonts w:hint="eastAsia" w:ascii="仿宋" w:hAnsi="仿宋" w:eastAsia="仿宋" w:cs="仿宋"/>
          <w:color w:val="auto"/>
          <w:sz w:val="28"/>
          <w:szCs w:val="28"/>
          <w:highlight w:val="none"/>
        </w:rPr>
        <w:t>违约金，并且给甲方造成的经济损失由乙方承担赔偿责任。</w:t>
      </w:r>
    </w:p>
    <w:p w14:paraId="5E9BEA04">
      <w:pPr>
        <w:pStyle w:val="27"/>
        <w:keepNext w:val="0"/>
        <w:keepLines w:val="0"/>
        <w:pageBreakBefore w:val="0"/>
        <w:widowControl w:val="0"/>
        <w:numPr>
          <w:ilvl w:val="0"/>
          <w:numId w:val="0"/>
        </w:numPr>
        <w:tabs>
          <w:tab w:val="left" w:pos="84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b w:val="0"/>
          <w:color w:val="auto"/>
          <w:kern w:val="2"/>
          <w:sz w:val="28"/>
          <w:szCs w:val="28"/>
          <w:highlight w:val="none"/>
          <w:lang w:val="en-US" w:eastAsia="zh-CN" w:bidi="ar-SA"/>
        </w:rPr>
        <w:t>3、</w:t>
      </w:r>
      <w:r>
        <w:rPr>
          <w:rFonts w:hint="eastAsia" w:ascii="仿宋" w:hAnsi="仿宋" w:eastAsia="仿宋" w:cs="仿宋"/>
          <w:color w:val="auto"/>
          <w:sz w:val="28"/>
          <w:szCs w:val="28"/>
          <w:highlight w:val="none"/>
        </w:rPr>
        <w:t>因乙方原因导致本合同解除或是无法履行的，乙方应向甲方支付合同总价</w:t>
      </w:r>
      <w:r>
        <w:rPr>
          <w:rFonts w:hint="eastAsia" w:ascii="仿宋" w:hAnsi="仿宋" w:eastAsia="仿宋" w:cs="仿宋"/>
          <w:color w:val="auto"/>
          <w:sz w:val="28"/>
          <w:szCs w:val="28"/>
          <w:highlight w:val="none"/>
          <w:u w:val="single"/>
        </w:rPr>
        <w:t xml:space="preserve"> 20 %</w:t>
      </w:r>
      <w:r>
        <w:rPr>
          <w:rFonts w:hint="eastAsia" w:ascii="仿宋" w:hAnsi="仿宋" w:eastAsia="仿宋" w:cs="仿宋"/>
          <w:color w:val="auto"/>
          <w:sz w:val="28"/>
          <w:szCs w:val="28"/>
          <w:highlight w:val="none"/>
        </w:rPr>
        <w:t>的违约金，并且给甲方造成的经济损失由乙方承担赔偿责任。</w:t>
      </w:r>
    </w:p>
    <w:p w14:paraId="6B37CBBD">
      <w:pPr>
        <w:pStyle w:val="27"/>
        <w:keepNext w:val="0"/>
        <w:keepLines w:val="0"/>
        <w:pageBreakBefore w:val="0"/>
        <w:widowControl w:val="0"/>
        <w:numPr>
          <w:ilvl w:val="0"/>
          <w:numId w:val="0"/>
        </w:numPr>
        <w:tabs>
          <w:tab w:val="left" w:pos="84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4、甲方有权从应支付未支付的款项中或是履约保证金中直接扣除乙方的违约金，或从履约保函中提取相应数额的保证金，不足的部分由乙方另行补足。</w:t>
      </w:r>
    </w:p>
    <w:p w14:paraId="70DC875E">
      <w:pPr>
        <w:pStyle w:val="27"/>
        <w:keepNext w:val="0"/>
        <w:keepLines w:val="0"/>
        <w:pageBreakBefore w:val="0"/>
        <w:widowControl w:val="0"/>
        <w:numPr>
          <w:ilvl w:val="0"/>
          <w:numId w:val="0"/>
        </w:numPr>
        <w:tabs>
          <w:tab w:val="left" w:pos="84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b w:val="0"/>
          <w:color w:val="auto"/>
          <w:kern w:val="2"/>
          <w:sz w:val="28"/>
          <w:szCs w:val="28"/>
          <w:highlight w:val="none"/>
          <w:lang w:val="en-US" w:eastAsia="zh-CN" w:bidi="ar-SA"/>
        </w:rPr>
        <w:t>5、乙方违反合同约定的，除赔偿甲方损失、承担违约责任外，还应当承担甲方为维权支出的合理费用，包括但不限于诉讼费、律师费等。</w:t>
      </w:r>
    </w:p>
    <w:p w14:paraId="5A83AF86">
      <w:pPr>
        <w:pStyle w:val="19"/>
        <w:keepNext w:val="0"/>
        <w:pageBreakBefore w:val="0"/>
        <w:widowControl w:val="0"/>
        <w:numPr>
          <w:ilvl w:val="0"/>
          <w:numId w:val="0"/>
        </w:numPr>
        <w:kinsoku/>
        <w:wordWrap/>
        <w:overflowPunct/>
        <w:topLinePunct w:val="0"/>
        <w:bidi w:val="0"/>
        <w:snapToGrid w:val="0"/>
        <w:spacing w:line="360" w:lineRule="auto"/>
        <w:ind w:left="420" w:leftChars="0" w:hanging="420" w:firstLineChars="0"/>
        <w:textAlignment w:val="auto"/>
        <w:rPr>
          <w:rFonts w:hint="eastAsia" w:ascii="仿宋" w:hAnsi="仿宋" w:eastAsia="仿宋" w:cs="仿宋"/>
          <w:b/>
          <w:color w:val="auto"/>
          <w:spacing w:val="20"/>
          <w:sz w:val="28"/>
          <w:szCs w:val="28"/>
          <w:highlight w:val="none"/>
        </w:rPr>
      </w:pPr>
      <w:r>
        <w:rPr>
          <w:rFonts w:hint="eastAsia" w:ascii="仿宋" w:hAnsi="仿宋" w:eastAsia="仿宋" w:cs="仿宋"/>
          <w:b/>
          <w:color w:val="auto"/>
          <w:spacing w:val="0"/>
          <w:kern w:val="2"/>
          <w:sz w:val="28"/>
          <w:szCs w:val="28"/>
          <w:highlight w:val="none"/>
          <w:lang w:val="en-US" w:eastAsia="zh-CN" w:bidi="ar-SA"/>
        </w:rPr>
        <w:t>十六</w:t>
      </w:r>
      <w:r>
        <w:rPr>
          <w:rFonts w:hint="eastAsia" w:ascii="仿宋" w:hAnsi="仿宋" w:eastAsia="仿宋" w:cs="仿宋"/>
          <w:b/>
          <w:color w:val="auto"/>
          <w:spacing w:val="20"/>
          <w:kern w:val="2"/>
          <w:sz w:val="28"/>
          <w:szCs w:val="28"/>
          <w:highlight w:val="none"/>
          <w:lang w:val="en-US" w:eastAsia="zh-CN" w:bidi="ar-SA"/>
        </w:rPr>
        <w:t>、</w:t>
      </w:r>
      <w:r>
        <w:rPr>
          <w:rFonts w:hint="eastAsia" w:ascii="仿宋" w:hAnsi="仿宋" w:eastAsia="仿宋" w:cs="仿宋"/>
          <w:b/>
          <w:color w:val="auto"/>
          <w:spacing w:val="20"/>
          <w:sz w:val="28"/>
          <w:szCs w:val="28"/>
          <w:highlight w:val="none"/>
        </w:rPr>
        <w:t>争议的解决办法</w:t>
      </w:r>
    </w:p>
    <w:p w14:paraId="0595C08E">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1、凡与本合同有关而引起的一切争议，甲乙双方应首先通过友好协商解决，如经协商后仍不能达成协议时，任何一方可以向甲方所在地法院提出诉讼。</w:t>
      </w:r>
    </w:p>
    <w:p w14:paraId="231E402D">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2、在进行法院审理期间，除提交法院审理的事项外，合同其他部分仍继续履行。</w:t>
      </w:r>
    </w:p>
    <w:p w14:paraId="2113C143">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3、本合同按照中华人民共和国的法律进行解释。</w:t>
      </w:r>
    </w:p>
    <w:p w14:paraId="584A3D17">
      <w:pPr>
        <w:pStyle w:val="19"/>
        <w:keepNext w:val="0"/>
        <w:pageBreakBefore w:val="0"/>
        <w:widowControl w:val="0"/>
        <w:numPr>
          <w:ilvl w:val="0"/>
          <w:numId w:val="0"/>
        </w:numPr>
        <w:kinsoku/>
        <w:wordWrap/>
        <w:overflowPunct/>
        <w:topLinePunct w:val="0"/>
        <w:bidi w:val="0"/>
        <w:snapToGrid w:val="0"/>
        <w:spacing w:line="360" w:lineRule="auto"/>
        <w:ind w:left="420" w:leftChars="0" w:hanging="420" w:firstLineChars="0"/>
        <w:textAlignment w:val="auto"/>
        <w:rPr>
          <w:rFonts w:hint="eastAsia" w:ascii="仿宋" w:hAnsi="仿宋" w:eastAsia="仿宋" w:cs="仿宋"/>
          <w:b/>
          <w:color w:val="auto"/>
          <w:spacing w:val="20"/>
          <w:sz w:val="28"/>
          <w:szCs w:val="28"/>
          <w:highlight w:val="none"/>
        </w:rPr>
      </w:pPr>
      <w:r>
        <w:rPr>
          <w:rFonts w:hint="eastAsia" w:ascii="仿宋" w:hAnsi="仿宋" w:eastAsia="仿宋" w:cs="仿宋"/>
          <w:b/>
          <w:color w:val="auto"/>
          <w:spacing w:val="0"/>
          <w:kern w:val="2"/>
          <w:sz w:val="28"/>
          <w:szCs w:val="28"/>
          <w:highlight w:val="none"/>
          <w:lang w:val="en-US" w:eastAsia="zh-CN" w:bidi="ar-SA"/>
        </w:rPr>
        <w:t>十七</w:t>
      </w:r>
      <w:r>
        <w:rPr>
          <w:rFonts w:hint="eastAsia" w:ascii="仿宋" w:hAnsi="仿宋" w:eastAsia="仿宋" w:cs="仿宋"/>
          <w:b/>
          <w:color w:val="auto"/>
          <w:spacing w:val="20"/>
          <w:kern w:val="2"/>
          <w:sz w:val="28"/>
          <w:szCs w:val="28"/>
          <w:highlight w:val="none"/>
          <w:lang w:val="en-US" w:eastAsia="zh-CN" w:bidi="ar-SA"/>
        </w:rPr>
        <w:t>、</w:t>
      </w:r>
      <w:r>
        <w:rPr>
          <w:rFonts w:hint="eastAsia" w:ascii="仿宋" w:hAnsi="仿宋" w:eastAsia="仿宋" w:cs="仿宋"/>
          <w:b/>
          <w:color w:val="auto"/>
          <w:spacing w:val="20"/>
          <w:sz w:val="28"/>
          <w:szCs w:val="28"/>
          <w:highlight w:val="none"/>
        </w:rPr>
        <w:t>不可抗力</w:t>
      </w:r>
    </w:p>
    <w:p w14:paraId="5566B63F">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b w:val="0"/>
          <w:color w:val="auto"/>
          <w:kern w:val="2"/>
          <w:sz w:val="28"/>
          <w:szCs w:val="28"/>
          <w:highlight w:val="none"/>
          <w:lang w:val="en-US" w:eastAsia="zh-CN" w:bidi="ar-SA"/>
        </w:rPr>
        <w:t>1、</w:t>
      </w:r>
      <w:r>
        <w:rPr>
          <w:rFonts w:hint="eastAsia" w:ascii="仿宋" w:hAnsi="仿宋" w:eastAsia="仿宋" w:cs="仿宋"/>
          <w:color w:val="auto"/>
          <w:sz w:val="28"/>
          <w:szCs w:val="28"/>
          <w:highlight w:val="none"/>
        </w:rPr>
        <w:t>甲乙双方如果任何一方因不可抗拒力的力量如地震、风暴、洪水、火灾或其他自然灾害、瘟疫、战争、暴乱、敌对行动、公共骚乱、公共敌人的行为、政府或公共机关的禁止、劳资纠纷或其他双方无法控制、不可预见的事件，而无法履行本合同规定的义务时，应及时向对方通报不能履行或不能完全履行的理由，以减轻可能给对方造成的损失，在取得有关机构证明后，允许延期履行、部分履行或不履行合同，并根据情况可部分或全部免予承担违约责任。</w:t>
      </w:r>
    </w:p>
    <w:p w14:paraId="2363FEAB">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b w:val="0"/>
          <w:color w:val="auto"/>
          <w:kern w:val="2"/>
          <w:sz w:val="28"/>
          <w:szCs w:val="28"/>
          <w:highlight w:val="none"/>
          <w:lang w:val="en-US" w:eastAsia="zh-CN" w:bidi="ar-SA"/>
        </w:rPr>
        <w:t>2、</w:t>
      </w:r>
      <w:r>
        <w:rPr>
          <w:rFonts w:hint="eastAsia" w:ascii="仿宋" w:hAnsi="仿宋" w:eastAsia="仿宋" w:cs="仿宋"/>
          <w:color w:val="auto"/>
          <w:sz w:val="28"/>
          <w:szCs w:val="28"/>
          <w:highlight w:val="none"/>
        </w:rPr>
        <w:t>如果发生了不可抗力的事件，任何一方均不对另一方因不能履约或延误履约而遭受的任何损害，成本增加或损失负责。遇到不可抗力事件的一方应采取适当的措施以减少或消除不可抗力事件的影响，并在最短时间内努力重新履行因不可抗力事件而受影响的义务。通过协商，双方应根据不可抗力对合同履行的影响程度，决定是否修改或终止本合同。</w:t>
      </w:r>
    </w:p>
    <w:p w14:paraId="5435215A">
      <w:pPr>
        <w:pStyle w:val="19"/>
        <w:keepNext w:val="0"/>
        <w:pageBreakBefore w:val="0"/>
        <w:widowControl w:val="0"/>
        <w:numPr>
          <w:ilvl w:val="0"/>
          <w:numId w:val="0"/>
        </w:numPr>
        <w:tabs>
          <w:tab w:val="left" w:pos="567"/>
        </w:tabs>
        <w:kinsoku/>
        <w:wordWrap/>
        <w:overflowPunct/>
        <w:topLinePunct w:val="0"/>
        <w:bidi w:val="0"/>
        <w:snapToGrid w:val="0"/>
        <w:spacing w:line="360" w:lineRule="auto"/>
        <w:ind w:left="420" w:leftChars="0" w:hanging="420" w:firstLineChars="0"/>
        <w:textAlignment w:val="auto"/>
        <w:rPr>
          <w:rFonts w:hint="eastAsia" w:ascii="仿宋" w:hAnsi="仿宋" w:eastAsia="仿宋" w:cs="仿宋"/>
          <w:b/>
          <w:color w:val="auto"/>
          <w:spacing w:val="20"/>
          <w:sz w:val="28"/>
          <w:szCs w:val="28"/>
          <w:highlight w:val="none"/>
        </w:rPr>
      </w:pPr>
      <w:r>
        <w:rPr>
          <w:rFonts w:hint="eastAsia" w:ascii="仿宋" w:hAnsi="仿宋" w:eastAsia="仿宋" w:cs="仿宋"/>
          <w:b/>
          <w:color w:val="auto"/>
          <w:spacing w:val="20"/>
          <w:kern w:val="2"/>
          <w:sz w:val="28"/>
          <w:szCs w:val="28"/>
          <w:highlight w:val="none"/>
          <w:lang w:val="en-US" w:eastAsia="zh-CN" w:bidi="ar-SA"/>
        </w:rPr>
        <w:t>十八、</w:t>
      </w:r>
      <w:r>
        <w:rPr>
          <w:rFonts w:hint="eastAsia" w:ascii="仿宋" w:hAnsi="仿宋" w:eastAsia="仿宋" w:cs="仿宋"/>
          <w:b/>
          <w:color w:val="auto"/>
          <w:spacing w:val="20"/>
          <w:sz w:val="28"/>
          <w:szCs w:val="28"/>
          <w:highlight w:val="none"/>
        </w:rPr>
        <w:t>合同生效</w:t>
      </w:r>
    </w:p>
    <w:p w14:paraId="248FFAF3">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kern w:val="2"/>
          <w:sz w:val="28"/>
          <w:szCs w:val="28"/>
          <w:highlight w:val="none"/>
          <w:lang w:val="en-US" w:eastAsia="zh-CN" w:bidi="ar-SA"/>
        </w:rPr>
        <w:t>1、</w:t>
      </w:r>
      <w:r>
        <w:rPr>
          <w:rFonts w:hint="eastAsia" w:ascii="仿宋" w:hAnsi="仿宋" w:eastAsia="仿宋" w:cs="仿宋"/>
          <w:color w:val="auto"/>
          <w:sz w:val="28"/>
          <w:szCs w:val="28"/>
          <w:highlight w:val="none"/>
        </w:rPr>
        <w:t>本合同由双方法定代表人或委托代理人签字盖章后立即生效，具有同等法律效力</w:t>
      </w:r>
      <w:r>
        <w:rPr>
          <w:rFonts w:hint="eastAsia" w:ascii="仿宋" w:hAnsi="仿宋" w:eastAsia="仿宋" w:cs="仿宋"/>
          <w:color w:val="auto"/>
          <w:sz w:val="28"/>
          <w:szCs w:val="28"/>
          <w:highlight w:val="none"/>
          <w:lang w:eastAsia="zh-CN"/>
        </w:rPr>
        <w:t>。</w:t>
      </w:r>
    </w:p>
    <w:p w14:paraId="13EA6471">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2"/>
          <w:sz w:val="28"/>
          <w:szCs w:val="28"/>
          <w:highlight w:val="none"/>
          <w:lang w:val="en-US" w:eastAsia="zh-CN" w:bidi="ar-SA"/>
        </w:rPr>
        <w:t>2、</w:t>
      </w:r>
      <w:r>
        <w:rPr>
          <w:rFonts w:hint="eastAsia" w:ascii="仿宋" w:hAnsi="仿宋" w:eastAsia="仿宋" w:cs="仿宋"/>
          <w:color w:val="auto"/>
          <w:sz w:val="28"/>
          <w:szCs w:val="28"/>
          <w:highlight w:val="none"/>
        </w:rPr>
        <w:t>本合同一式</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份，其中甲方</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份、乙方</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份，采购代理机构</w:t>
      </w:r>
      <w:r>
        <w:rPr>
          <w:rFonts w:hint="eastAsia" w:ascii="仿宋" w:hAnsi="仿宋" w:eastAsia="仿宋" w:cs="仿宋"/>
          <w:color w:val="auto"/>
          <w:sz w:val="28"/>
          <w:szCs w:val="28"/>
          <w:highlight w:val="none"/>
          <w:u w:val="single"/>
        </w:rPr>
        <w:t xml:space="preserve"> 壹 </w:t>
      </w:r>
      <w:r>
        <w:rPr>
          <w:rFonts w:hint="eastAsia" w:ascii="仿宋" w:hAnsi="仿宋" w:eastAsia="仿宋" w:cs="仿宋"/>
          <w:color w:val="auto"/>
          <w:sz w:val="28"/>
          <w:szCs w:val="28"/>
          <w:highlight w:val="none"/>
        </w:rPr>
        <w:t>份（须在合同签订之日起5个工作日内递交）</w:t>
      </w:r>
    </w:p>
    <w:p w14:paraId="7B167304">
      <w:pPr>
        <w:pStyle w:val="19"/>
        <w:keepNext w:val="0"/>
        <w:pageBreakBefore w:val="0"/>
        <w:widowControl w:val="0"/>
        <w:numPr>
          <w:ilvl w:val="0"/>
          <w:numId w:val="0"/>
        </w:numPr>
        <w:tabs>
          <w:tab w:val="left" w:pos="567"/>
        </w:tabs>
        <w:kinsoku/>
        <w:wordWrap/>
        <w:overflowPunct/>
        <w:topLinePunct w:val="0"/>
        <w:bidi w:val="0"/>
        <w:snapToGrid w:val="0"/>
        <w:spacing w:line="360" w:lineRule="auto"/>
        <w:ind w:left="420" w:leftChars="0" w:hanging="420" w:firstLineChars="0"/>
        <w:textAlignment w:val="auto"/>
        <w:rPr>
          <w:rFonts w:hint="eastAsia" w:ascii="仿宋" w:hAnsi="仿宋" w:eastAsia="仿宋" w:cs="仿宋"/>
          <w:b/>
          <w:color w:val="auto"/>
          <w:spacing w:val="20"/>
          <w:sz w:val="28"/>
          <w:szCs w:val="28"/>
          <w:highlight w:val="none"/>
        </w:rPr>
      </w:pPr>
      <w:r>
        <w:rPr>
          <w:rFonts w:hint="eastAsia" w:ascii="仿宋" w:hAnsi="仿宋" w:eastAsia="仿宋" w:cs="仿宋"/>
          <w:b/>
          <w:color w:val="auto"/>
          <w:spacing w:val="20"/>
          <w:kern w:val="2"/>
          <w:sz w:val="28"/>
          <w:szCs w:val="28"/>
          <w:highlight w:val="none"/>
          <w:lang w:val="en-US" w:eastAsia="zh-CN" w:bidi="ar-SA"/>
        </w:rPr>
        <w:t>十九、</w:t>
      </w:r>
      <w:r>
        <w:rPr>
          <w:rFonts w:hint="eastAsia" w:ascii="仿宋" w:hAnsi="仿宋" w:eastAsia="仿宋" w:cs="仿宋"/>
          <w:b/>
          <w:color w:val="auto"/>
          <w:spacing w:val="20"/>
          <w:sz w:val="28"/>
          <w:szCs w:val="28"/>
          <w:highlight w:val="none"/>
        </w:rPr>
        <w:t>其它</w:t>
      </w:r>
    </w:p>
    <w:p w14:paraId="02761243">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kern w:val="2"/>
          <w:sz w:val="28"/>
          <w:szCs w:val="28"/>
          <w:highlight w:val="none"/>
          <w:lang w:val="en-US" w:eastAsia="zh-CN" w:bidi="ar-SA"/>
        </w:rPr>
        <w:t>1、</w:t>
      </w:r>
      <w:r>
        <w:rPr>
          <w:rFonts w:hint="eastAsia" w:ascii="仿宋" w:hAnsi="仿宋" w:eastAsia="仿宋" w:cs="仿宋"/>
          <w:color w:val="auto"/>
          <w:sz w:val="28"/>
          <w:szCs w:val="28"/>
          <w:highlight w:val="none"/>
        </w:rPr>
        <w:t>本合同未尽事宜，双方可签订补充合同，补充合同与所有附件均为合同的有效组成部分，与本合同具有同等法律效力</w:t>
      </w:r>
      <w:r>
        <w:rPr>
          <w:rFonts w:hint="eastAsia" w:ascii="仿宋" w:hAnsi="仿宋" w:eastAsia="仿宋" w:cs="仿宋"/>
          <w:color w:val="auto"/>
          <w:sz w:val="28"/>
          <w:szCs w:val="28"/>
          <w:highlight w:val="none"/>
          <w:lang w:eastAsia="zh-CN"/>
        </w:rPr>
        <w:t>。</w:t>
      </w:r>
    </w:p>
    <w:p w14:paraId="2FFFE511">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kern w:val="2"/>
          <w:sz w:val="28"/>
          <w:szCs w:val="28"/>
          <w:highlight w:val="none"/>
          <w:lang w:val="en-US" w:eastAsia="zh-CN" w:bidi="ar-SA"/>
        </w:rPr>
        <w:t>2、</w:t>
      </w:r>
      <w:r>
        <w:rPr>
          <w:rFonts w:hint="eastAsia" w:ascii="仿宋" w:hAnsi="仿宋" w:eastAsia="仿宋" w:cs="仿宋"/>
          <w:color w:val="auto"/>
          <w:sz w:val="28"/>
          <w:szCs w:val="28"/>
          <w:highlight w:val="none"/>
        </w:rPr>
        <w:t>在执行本合同的过程中，所有经甲乙双方签署确认的文件（包括会议纪要、补充协议、往来信函、合同附件等）即成为本合同的有效组成部分，其生效日期为双方签字盖章或确认之日期</w:t>
      </w:r>
      <w:r>
        <w:rPr>
          <w:rFonts w:hint="eastAsia" w:ascii="仿宋" w:hAnsi="仿宋" w:eastAsia="仿宋" w:cs="仿宋"/>
          <w:color w:val="auto"/>
          <w:sz w:val="28"/>
          <w:szCs w:val="28"/>
          <w:highlight w:val="none"/>
          <w:lang w:eastAsia="zh-CN"/>
        </w:rPr>
        <w:t>。</w:t>
      </w:r>
    </w:p>
    <w:p w14:paraId="25BD120F">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2"/>
          <w:sz w:val="28"/>
          <w:szCs w:val="28"/>
          <w:highlight w:val="none"/>
          <w:lang w:val="en-US" w:eastAsia="zh-CN" w:bidi="ar-SA"/>
        </w:rPr>
        <w:t>3、</w:t>
      </w:r>
      <w:r>
        <w:rPr>
          <w:rFonts w:hint="eastAsia" w:ascii="仿宋" w:hAnsi="仿宋" w:eastAsia="仿宋" w:cs="仿宋"/>
          <w:color w:val="auto"/>
          <w:sz w:val="28"/>
          <w:szCs w:val="28"/>
          <w:highlight w:val="none"/>
        </w:rPr>
        <w:t>本合同合计</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页A4纸张，缺页之合同为无效合同。</w:t>
      </w:r>
    </w:p>
    <w:p w14:paraId="09DDE334">
      <w:pPr>
        <w:pStyle w:val="1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双方确认本合同所载联系信息（电话、地址）为有效送达信息，可作为司法送达地址，司法机关或合同任意一方向该地址邮寄文书，已签收的以签收时间为送达时间，拒收、无法送达的，自邮件退件到达之日视为送达。地址如有变更，应当提前5日书面通知对方，否则仍以原地址为准，因未及时变更导致送达不能的后果由变更方自行承担。</w:t>
      </w:r>
    </w:p>
    <w:p w14:paraId="3416D47E">
      <w:pPr>
        <w:rPr>
          <w:rFonts w:hint="default"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附件1：《食材配送品目清单》</w:t>
      </w:r>
    </w:p>
    <w:p w14:paraId="7E7F5F9B">
      <w:pP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lang w:val="en-US" w:eastAsia="zh-CN"/>
        </w:rPr>
        <w:t>附件2：《食材配送考核表》</w:t>
      </w:r>
    </w:p>
    <w:p w14:paraId="4FC0195C">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(以下无正文）</w:t>
      </w:r>
    </w:p>
    <w:tbl>
      <w:tblPr>
        <w:tblStyle w:val="1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530"/>
        <w:gridCol w:w="4531"/>
      </w:tblGrid>
      <w:tr w14:paraId="3F061F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00" w:type="pct"/>
          </w:tcPr>
          <w:p w14:paraId="7C7DEFCE">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甲方（盖章）：</w:t>
            </w:r>
          </w:p>
        </w:tc>
        <w:tc>
          <w:tcPr>
            <w:tcW w:w="2500" w:type="pct"/>
          </w:tcPr>
          <w:p w14:paraId="3114CA4E">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乙方(盖章)：</w:t>
            </w:r>
          </w:p>
        </w:tc>
      </w:tr>
      <w:tr w14:paraId="050A8B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00" w:type="pct"/>
          </w:tcPr>
          <w:p w14:paraId="4993F7A8">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甲方代表人(签字)：</w:t>
            </w:r>
          </w:p>
        </w:tc>
        <w:tc>
          <w:tcPr>
            <w:tcW w:w="2500" w:type="pct"/>
          </w:tcPr>
          <w:p w14:paraId="059680BA">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乙方代表人(签字)：</w:t>
            </w:r>
          </w:p>
        </w:tc>
      </w:tr>
      <w:tr w14:paraId="036399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00" w:type="pct"/>
          </w:tcPr>
          <w:p w14:paraId="5310449D">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签字日期：</w:t>
            </w:r>
          </w:p>
        </w:tc>
        <w:tc>
          <w:tcPr>
            <w:tcW w:w="2500" w:type="pct"/>
          </w:tcPr>
          <w:p w14:paraId="03467AF9">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签字日期：</w:t>
            </w:r>
          </w:p>
        </w:tc>
      </w:tr>
      <w:tr w14:paraId="3129F7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00" w:type="pct"/>
          </w:tcPr>
          <w:p w14:paraId="07B0CA90">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地址：</w:t>
            </w:r>
          </w:p>
        </w:tc>
        <w:tc>
          <w:tcPr>
            <w:tcW w:w="2500" w:type="pct"/>
          </w:tcPr>
          <w:p w14:paraId="4C0B1425">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地址：</w:t>
            </w:r>
          </w:p>
        </w:tc>
      </w:tr>
      <w:tr w14:paraId="7F6DFB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00" w:type="pct"/>
          </w:tcPr>
          <w:p w14:paraId="679CF111">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电话：</w:t>
            </w:r>
          </w:p>
        </w:tc>
        <w:tc>
          <w:tcPr>
            <w:tcW w:w="2500" w:type="pct"/>
          </w:tcPr>
          <w:p w14:paraId="5E53E1D8">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电话：</w:t>
            </w:r>
          </w:p>
        </w:tc>
      </w:tr>
      <w:tr w14:paraId="738BA8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00" w:type="pct"/>
          </w:tcPr>
          <w:p w14:paraId="7936C869">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传真：</w:t>
            </w:r>
          </w:p>
        </w:tc>
        <w:tc>
          <w:tcPr>
            <w:tcW w:w="2500" w:type="pct"/>
          </w:tcPr>
          <w:p w14:paraId="5C77B61B">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传真：</w:t>
            </w:r>
          </w:p>
        </w:tc>
      </w:tr>
      <w:tr w14:paraId="07EF13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00" w:type="pct"/>
          </w:tcPr>
          <w:p w14:paraId="33E25FF6">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开户银行：</w:t>
            </w:r>
          </w:p>
        </w:tc>
        <w:tc>
          <w:tcPr>
            <w:tcW w:w="2500" w:type="pct"/>
          </w:tcPr>
          <w:p w14:paraId="6EE86835">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开户银行：</w:t>
            </w:r>
          </w:p>
        </w:tc>
      </w:tr>
      <w:tr w14:paraId="057E51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00" w:type="pct"/>
          </w:tcPr>
          <w:p w14:paraId="6BB5E9EB">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银行账户：</w:t>
            </w:r>
          </w:p>
        </w:tc>
        <w:tc>
          <w:tcPr>
            <w:tcW w:w="2500" w:type="pct"/>
          </w:tcPr>
          <w:p w14:paraId="777D3C88">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银行账户：</w:t>
            </w:r>
          </w:p>
        </w:tc>
      </w:tr>
    </w:tbl>
    <w:p w14:paraId="4884F57B">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br w:type="page"/>
      </w:r>
    </w:p>
    <w:p w14:paraId="55131871">
      <w:pPr>
        <w:pStyle w:val="2"/>
        <w:bidi w:val="0"/>
        <w:jc w:val="center"/>
        <w:outlineLvl w:val="0"/>
        <w:rPr>
          <w:rFonts w:hint="eastAsia" w:ascii="仿宋" w:hAnsi="仿宋" w:eastAsia="仿宋" w:cs="仿宋"/>
          <w:color w:val="auto"/>
          <w:sz w:val="28"/>
          <w:szCs w:val="28"/>
          <w:highlight w:val="none"/>
        </w:rPr>
      </w:pPr>
      <w:bookmarkStart w:id="13" w:name="_Toc6372"/>
      <w:r>
        <w:rPr>
          <w:rFonts w:hint="eastAsia" w:ascii="仿宋" w:hAnsi="仿宋" w:eastAsia="仿宋" w:cs="仿宋"/>
          <w:color w:val="auto"/>
          <w:sz w:val="28"/>
          <w:szCs w:val="28"/>
          <w:highlight w:val="none"/>
        </w:rPr>
        <w:t>第六章 投标文件格式与要求</w:t>
      </w:r>
      <w:bookmarkEnd w:id="13"/>
    </w:p>
    <w:p w14:paraId="52182C49">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投标人应提交证明其有资格参加投标和中标后有能力履行合同的相关文件，并作为其投标文件的一部分，所有文件必须真实可靠、不得伪造，否则将按相关规定予以处罚。</w:t>
      </w:r>
    </w:p>
    <w:p w14:paraId="757925B7">
      <w:pPr>
        <w:pStyle w:val="16"/>
        <w:spacing w:line="360" w:lineRule="auto"/>
        <w:ind w:firstLine="480"/>
        <w:outlineLvl w:val="1"/>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1.法人或者其他组织的营业执照等证明文件，自然人的身份证明：</w:t>
      </w:r>
    </w:p>
    <w:p w14:paraId="040C082C">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14:paraId="1D0D830B">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14:paraId="20861FA9">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2.财务状况报告，依法缴纳税收和社会保障资金的相关材料（详见资格性审查表要求）</w:t>
      </w:r>
    </w:p>
    <w:p w14:paraId="1DF75D60">
      <w:pPr>
        <w:pStyle w:val="16"/>
        <w:spacing w:line="360" w:lineRule="auto"/>
        <w:ind w:firstLine="480"/>
        <w:outlineLvl w:val="1"/>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3.具有履行合同所必须的设备和专业技术能力的声明。</w:t>
      </w:r>
    </w:p>
    <w:p w14:paraId="01865210">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4.投标人参加政府采购前三年内在经营活动中没有重大违法记录书面声明函。</w:t>
      </w:r>
    </w:p>
    <w:p w14:paraId="23AD913F">
      <w:pPr>
        <w:pStyle w:val="16"/>
        <w:spacing w:line="360" w:lineRule="auto"/>
        <w:ind w:firstLine="480"/>
        <w:outlineLvl w:val="1"/>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5.信用记录查询</w:t>
      </w:r>
    </w:p>
    <w:p w14:paraId="5418AEDA">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（1）查询渠道：通过“信用中国”网站</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www.creditchina.gov.cn</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和“中国政府采购网”（www.ccgp.gov.cn）进行查询；</w:t>
      </w:r>
    </w:p>
    <w:p w14:paraId="75306578">
      <w:pPr>
        <w:pStyle w:val="16"/>
        <w:spacing w:line="360" w:lineRule="auto"/>
        <w:ind w:firstLine="480"/>
        <w:outlineLvl w:val="2"/>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（2）查询截止时点：提交投标文件截止日当天；</w:t>
      </w:r>
    </w:p>
    <w:p w14:paraId="18C9DE90">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（3）查询记录：对列入失信被执行人、重大税收违法案件当事人名单、政府采购严重违法失信行为记录名单、信用报告进行查询；</w:t>
      </w:r>
    </w:p>
    <w:p w14:paraId="4FF6F74B">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14:paraId="62AF0BA9">
      <w:pPr>
        <w:pStyle w:val="16"/>
        <w:spacing w:line="360" w:lineRule="auto"/>
        <w:ind w:firstLine="480"/>
        <w:outlineLvl w:val="1"/>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6.按照招标文件要求，投标人应当提交的资格、资信证明文件。</w:t>
      </w:r>
    </w:p>
    <w:p w14:paraId="3AF27DDC">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br w:type="page"/>
      </w:r>
    </w:p>
    <w:p w14:paraId="3228CC31">
      <w:pPr>
        <w:pStyle w:val="3"/>
        <w:numPr>
          <w:ilvl w:val="0"/>
          <w:numId w:val="0"/>
        </w:numPr>
        <w:bidi w:val="0"/>
        <w:ind w:leftChars="0"/>
        <w:jc w:val="both"/>
        <w:rPr>
          <w:rFonts w:hint="eastAsia" w:ascii="仿宋" w:hAnsi="仿宋" w:eastAsia="仿宋" w:cs="仿宋"/>
          <w:color w:val="auto"/>
          <w:sz w:val="28"/>
          <w:szCs w:val="28"/>
          <w:highlight w:val="none"/>
        </w:rPr>
      </w:pPr>
      <w:bookmarkStart w:id="14" w:name="_Toc19217"/>
      <w:bookmarkStart w:id="15" w:name="_Toc19772"/>
      <w:r>
        <w:rPr>
          <w:rFonts w:hint="eastAsia" w:ascii="仿宋" w:hAnsi="仿宋" w:eastAsia="仿宋" w:cs="仿宋"/>
          <w:color w:val="auto"/>
          <w:sz w:val="28"/>
          <w:szCs w:val="28"/>
          <w:highlight w:val="none"/>
          <w:lang w:val="en-US" w:eastAsia="zh-CN"/>
        </w:rPr>
        <w:t>一、</w:t>
      </w:r>
      <w:r>
        <w:rPr>
          <w:rFonts w:hint="eastAsia" w:ascii="仿宋" w:hAnsi="仿宋" w:eastAsia="仿宋" w:cs="仿宋"/>
          <w:color w:val="auto"/>
          <w:sz w:val="28"/>
          <w:szCs w:val="28"/>
          <w:highlight w:val="none"/>
        </w:rPr>
        <w:t>唱标信封</w:t>
      </w:r>
      <w:bookmarkEnd w:id="14"/>
    </w:p>
    <w:p w14:paraId="32E2E8CB">
      <w:pPr>
        <w:pStyle w:val="6"/>
        <w:rPr>
          <w:rFonts w:ascii="宋体" w:hAnsi="宋体" w:cs="宋体"/>
          <w:color w:val="auto"/>
          <w:highlight w:val="none"/>
        </w:rPr>
      </w:pPr>
    </w:p>
    <w:p w14:paraId="75144EC9">
      <w:pPr>
        <w:pStyle w:val="6"/>
        <w:ind w:right="450"/>
        <w:jc w:val="right"/>
        <w:rPr>
          <w:rFonts w:ascii="宋体" w:hAnsi="宋体" w:cs="宋体"/>
          <w:b/>
          <w:color w:val="auto"/>
          <w:sz w:val="30"/>
          <w:szCs w:val="30"/>
          <w:highlight w:val="none"/>
        </w:rPr>
      </w:pPr>
      <w:r>
        <w:rPr>
          <w:rFonts w:hint="eastAsia" w:ascii="宋体" w:hAnsi="宋体" w:cs="宋体"/>
          <w:b/>
          <w:color w:val="auto"/>
          <w:sz w:val="30"/>
          <w:szCs w:val="30"/>
          <w:highlight w:val="none"/>
        </w:rPr>
        <w:t>正本/副本</w:t>
      </w:r>
    </w:p>
    <w:p w14:paraId="23C6F704">
      <w:pPr>
        <w:pStyle w:val="6"/>
        <w:ind w:right="450"/>
        <w:jc w:val="right"/>
        <w:rPr>
          <w:rFonts w:ascii="宋体" w:hAnsi="宋体" w:cs="宋体"/>
          <w:b/>
          <w:color w:val="auto"/>
          <w:sz w:val="30"/>
          <w:szCs w:val="30"/>
          <w:highlight w:val="none"/>
        </w:rPr>
      </w:pPr>
    </w:p>
    <w:p w14:paraId="74B51D79">
      <w:pPr>
        <w:spacing w:line="600" w:lineRule="atLeast"/>
        <w:jc w:val="center"/>
        <w:rPr>
          <w:rFonts w:hint="eastAsia" w:ascii="宋体" w:hAnsi="宋体" w:cs="宋体"/>
          <w:b/>
          <w:color w:val="auto"/>
          <w:sz w:val="72"/>
          <w:szCs w:val="72"/>
          <w:highlight w:val="none"/>
          <w:lang w:eastAsia="zh-CN"/>
        </w:rPr>
      </w:pPr>
      <w:r>
        <w:rPr>
          <w:rFonts w:hint="eastAsia" w:ascii="宋体" w:hAnsi="宋体" w:cs="宋体"/>
          <w:b/>
          <w:color w:val="auto"/>
          <w:sz w:val="72"/>
          <w:szCs w:val="72"/>
          <w:highlight w:val="none"/>
          <w:lang w:eastAsia="zh-CN"/>
        </w:rPr>
        <w:t>东莞市常平镇中心小学食堂食材采购项目</w:t>
      </w:r>
    </w:p>
    <w:p w14:paraId="5976D6EC">
      <w:pPr>
        <w:spacing w:line="600" w:lineRule="atLeast"/>
        <w:jc w:val="center"/>
        <w:rPr>
          <w:color w:val="auto"/>
          <w:highlight w:val="none"/>
        </w:rPr>
      </w:pPr>
      <w:r>
        <w:rPr>
          <w:rFonts w:hint="eastAsia" w:ascii="宋体" w:hAnsi="宋体" w:cs="宋体"/>
          <w:b/>
          <w:color w:val="auto"/>
          <w:sz w:val="28"/>
          <w:szCs w:val="18"/>
          <w:highlight w:val="none"/>
        </w:rPr>
        <w:t>（采购编号：              ）</w:t>
      </w:r>
    </w:p>
    <w:p w14:paraId="631B9115">
      <w:pPr>
        <w:spacing w:line="600" w:lineRule="atLeast"/>
        <w:jc w:val="center"/>
        <w:rPr>
          <w:rFonts w:ascii="宋体" w:hAnsi="宋体" w:cs="宋体"/>
          <w:b/>
          <w:color w:val="auto"/>
          <w:sz w:val="28"/>
          <w:szCs w:val="18"/>
          <w:highlight w:val="none"/>
        </w:rPr>
      </w:pPr>
      <w:r>
        <w:rPr>
          <w:rFonts w:hint="eastAsia" w:ascii="宋体" w:hAnsi="宋体" w:cs="宋体"/>
          <w:b/>
          <w:color w:val="auto"/>
          <w:sz w:val="28"/>
          <w:szCs w:val="18"/>
          <w:highlight w:val="none"/>
        </w:rPr>
        <w:t>（采购包号：              ）</w:t>
      </w:r>
    </w:p>
    <w:p w14:paraId="51ABC9D1">
      <w:pPr>
        <w:spacing w:line="600" w:lineRule="exact"/>
        <w:rPr>
          <w:rFonts w:ascii="宋体" w:hAnsi="宋体" w:cs="宋体"/>
          <w:b/>
          <w:color w:val="auto"/>
          <w:sz w:val="28"/>
          <w:szCs w:val="18"/>
          <w:highlight w:val="none"/>
        </w:rPr>
      </w:pPr>
    </w:p>
    <w:p w14:paraId="76E8CC52">
      <w:pPr>
        <w:snapToGrid w:val="0"/>
        <w:spacing w:line="1100" w:lineRule="exact"/>
        <w:jc w:val="center"/>
        <w:rPr>
          <w:rFonts w:hint="eastAsia" w:ascii="宋体" w:hAnsi="宋体" w:cs="宋体"/>
          <w:b/>
          <w:bCs/>
          <w:color w:val="auto"/>
          <w:spacing w:val="80"/>
          <w:sz w:val="80"/>
          <w:szCs w:val="80"/>
          <w:highlight w:val="none"/>
        </w:rPr>
      </w:pPr>
      <w:r>
        <w:rPr>
          <w:rFonts w:hint="eastAsia" w:ascii="宋体" w:hAnsi="宋体" w:cs="宋体"/>
          <w:b/>
          <w:bCs/>
          <w:color w:val="auto"/>
          <w:spacing w:val="80"/>
          <w:sz w:val="80"/>
          <w:szCs w:val="80"/>
          <w:highlight w:val="none"/>
        </w:rPr>
        <w:t>唱标信封</w:t>
      </w:r>
    </w:p>
    <w:p w14:paraId="7859C334">
      <w:pPr>
        <w:snapToGrid w:val="0"/>
        <w:spacing w:line="1100" w:lineRule="exact"/>
        <w:jc w:val="center"/>
        <w:rPr>
          <w:rFonts w:ascii="宋体" w:hAnsi="宋体" w:cs="宋体"/>
          <w:b/>
          <w:color w:val="auto"/>
          <w:sz w:val="28"/>
          <w:szCs w:val="28"/>
          <w:highlight w:val="none"/>
        </w:rPr>
      </w:pPr>
      <w:r>
        <w:rPr>
          <w:rFonts w:hint="eastAsia" w:ascii="宋体" w:hAnsi="宋体" w:cs="宋体"/>
          <w:b/>
          <w:color w:val="auto"/>
          <w:sz w:val="28"/>
          <w:szCs w:val="28"/>
          <w:highlight w:val="none"/>
        </w:rPr>
        <w:t>（封面格式仅供参考）</w:t>
      </w:r>
    </w:p>
    <w:p w14:paraId="39359F12">
      <w:pPr>
        <w:tabs>
          <w:tab w:val="left" w:pos="3261"/>
        </w:tabs>
        <w:snapToGrid w:val="0"/>
        <w:spacing w:line="480" w:lineRule="atLeast"/>
        <w:ind w:firstLine="480" w:firstLineChars="200"/>
        <w:rPr>
          <w:rFonts w:ascii="宋体" w:hAnsi="宋体" w:cs="宋体"/>
          <w:color w:val="auto"/>
          <w:sz w:val="24"/>
          <w:highlight w:val="none"/>
        </w:rPr>
      </w:pPr>
      <w:r>
        <w:rPr>
          <w:rFonts w:hint="eastAsia" w:ascii="宋体" w:hAnsi="宋体" w:cs="宋体"/>
          <w:color w:val="auto"/>
          <w:sz w:val="24"/>
          <w:highlight w:val="none"/>
        </w:rPr>
        <w:t>投标人名称：</w:t>
      </w:r>
    </w:p>
    <w:p w14:paraId="4DA53FCC">
      <w:pPr>
        <w:snapToGrid w:val="0"/>
        <w:spacing w:line="480" w:lineRule="atLeast"/>
        <w:ind w:firstLine="480" w:firstLineChars="200"/>
        <w:rPr>
          <w:rFonts w:ascii="宋体" w:hAnsi="宋体" w:cs="宋体"/>
          <w:color w:val="auto"/>
          <w:sz w:val="24"/>
          <w:highlight w:val="none"/>
        </w:rPr>
      </w:pPr>
      <w:r>
        <w:rPr>
          <w:rFonts w:hint="eastAsia" w:ascii="宋体" w:hAnsi="宋体" w:cs="宋体"/>
          <w:color w:val="auto"/>
          <w:sz w:val="24"/>
          <w:highlight w:val="none"/>
        </w:rPr>
        <w:t>投标人地址：</w:t>
      </w:r>
    </w:p>
    <w:p w14:paraId="452257E8">
      <w:pPr>
        <w:snapToGrid w:val="0"/>
        <w:spacing w:line="480" w:lineRule="atLeast"/>
        <w:ind w:firstLine="525" w:firstLineChars="219"/>
        <w:rPr>
          <w:rFonts w:ascii="宋体" w:hAnsi="宋体" w:cs="宋体"/>
          <w:color w:val="auto"/>
          <w:sz w:val="24"/>
          <w:highlight w:val="none"/>
        </w:rPr>
      </w:pPr>
      <w:r>
        <w:rPr>
          <w:rFonts w:hint="eastAsia" w:ascii="宋体" w:hAnsi="宋体" w:cs="宋体"/>
          <w:color w:val="auto"/>
          <w:sz w:val="24"/>
          <w:highlight w:val="none"/>
        </w:rPr>
        <w:t>联 系 人：</w:t>
      </w:r>
    </w:p>
    <w:p w14:paraId="26CE646B">
      <w:pPr>
        <w:snapToGrid w:val="0"/>
        <w:spacing w:line="480" w:lineRule="atLeast"/>
        <w:ind w:firstLine="525" w:firstLineChars="219"/>
        <w:rPr>
          <w:rFonts w:ascii="宋体" w:hAnsi="宋体" w:cs="宋体"/>
          <w:color w:val="auto"/>
          <w:sz w:val="24"/>
          <w:highlight w:val="none"/>
        </w:rPr>
      </w:pPr>
      <w:r>
        <w:rPr>
          <w:rFonts w:hint="eastAsia" w:ascii="宋体" w:hAnsi="宋体" w:cs="宋体"/>
          <w:color w:val="auto"/>
          <w:sz w:val="24"/>
          <w:highlight w:val="none"/>
        </w:rPr>
        <w:t>联系电话：</w:t>
      </w:r>
    </w:p>
    <w:p w14:paraId="3E17C25D">
      <w:pPr>
        <w:snapToGrid w:val="0"/>
        <w:spacing w:line="480" w:lineRule="atLeast"/>
        <w:ind w:firstLine="525" w:firstLineChars="219"/>
        <w:rPr>
          <w:rFonts w:ascii="宋体" w:hAnsi="宋体" w:cs="宋体"/>
          <w:color w:val="auto"/>
          <w:sz w:val="24"/>
          <w:highlight w:val="none"/>
        </w:rPr>
      </w:pPr>
      <w:r>
        <w:rPr>
          <w:rFonts w:hint="eastAsia" w:ascii="宋体" w:hAnsi="宋体" w:cs="宋体"/>
          <w:color w:val="auto"/>
          <w:sz w:val="24"/>
          <w:highlight w:val="none"/>
        </w:rPr>
        <w:t>传    真：</w:t>
      </w:r>
    </w:p>
    <w:p w14:paraId="568680FD">
      <w:pPr>
        <w:snapToGrid w:val="0"/>
        <w:spacing w:line="480" w:lineRule="atLeast"/>
        <w:ind w:firstLine="525" w:firstLineChars="219"/>
        <w:rPr>
          <w:rFonts w:ascii="宋体" w:hAnsi="宋体" w:cs="宋体"/>
          <w:color w:val="auto"/>
          <w:sz w:val="24"/>
          <w:highlight w:val="none"/>
        </w:rPr>
      </w:pPr>
    </w:p>
    <w:p w14:paraId="5BE2358A">
      <w:pPr>
        <w:spacing w:line="600" w:lineRule="exact"/>
        <w:ind w:firstLine="2536" w:firstLineChars="842"/>
        <w:rPr>
          <w:rFonts w:ascii="宋体" w:hAnsi="宋体" w:cs="宋体"/>
          <w:b/>
          <w:bCs/>
          <w:color w:val="auto"/>
          <w:spacing w:val="26"/>
          <w:sz w:val="30"/>
          <w:szCs w:val="30"/>
          <w:highlight w:val="none"/>
        </w:rPr>
      </w:pPr>
      <w:r>
        <w:rPr>
          <w:rFonts w:hint="eastAsia" w:ascii="宋体" w:hAnsi="宋体" w:cs="宋体"/>
          <w:b/>
          <w:color w:val="auto"/>
          <w:sz w:val="30"/>
          <w:szCs w:val="30"/>
          <w:highlight w:val="none"/>
        </w:rPr>
        <w:t>日    期：</w:t>
      </w:r>
      <w:r>
        <w:rPr>
          <w:rFonts w:hint="eastAsia" w:ascii="宋体" w:hAnsi="宋体" w:cs="宋体"/>
          <w:b/>
          <w:color w:val="auto"/>
          <w:sz w:val="30"/>
          <w:szCs w:val="30"/>
          <w:highlight w:val="none"/>
          <w:lang w:eastAsia="zh-CN"/>
        </w:rPr>
        <w:t>二〇二五</w:t>
      </w:r>
      <w:r>
        <w:rPr>
          <w:rFonts w:hint="eastAsia" w:ascii="宋体" w:hAnsi="宋体" w:cs="宋体"/>
          <w:b/>
          <w:color w:val="auto"/>
          <w:sz w:val="30"/>
          <w:szCs w:val="30"/>
          <w:highlight w:val="none"/>
        </w:rPr>
        <w:t>年   月</w:t>
      </w:r>
    </w:p>
    <w:p w14:paraId="1092A651">
      <w:pPr>
        <w:rPr>
          <w:color w:val="auto"/>
          <w:highlight w:val="none"/>
        </w:rPr>
      </w:pPr>
      <w:r>
        <w:rPr>
          <w:color w:val="auto"/>
          <w:highlight w:val="none"/>
        </w:rPr>
        <w:br w:type="page"/>
      </w:r>
    </w:p>
    <w:p w14:paraId="416C4EC4">
      <w:pPr>
        <w:rPr>
          <w:color w:val="auto"/>
          <w:highlight w:val="none"/>
        </w:rPr>
      </w:pPr>
    </w:p>
    <w:p w14:paraId="4F0B979C">
      <w:pPr>
        <w:pStyle w:val="22"/>
        <w:spacing w:line="360" w:lineRule="auto"/>
        <w:ind w:firstLine="0" w:firstLineChars="0"/>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唱标信封包含：</w:t>
      </w:r>
    </w:p>
    <w:p w14:paraId="45E5058D">
      <w:pPr>
        <w:pStyle w:val="22"/>
        <w:spacing w:line="360" w:lineRule="auto"/>
        <w:ind w:left="0" w:leftChars="0" w:firstLine="280" w:firstLineChars="100"/>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（1）投标一览表加盖公章；</w:t>
      </w:r>
    </w:p>
    <w:p w14:paraId="22708D1D">
      <w:pPr>
        <w:pStyle w:val="22"/>
        <w:spacing w:line="360" w:lineRule="auto"/>
        <w:ind w:left="0" w:leftChars="0" w:firstLine="280" w:firstLineChars="100"/>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（2）投标人营业执照复印件加盖公章；</w:t>
      </w:r>
    </w:p>
    <w:p w14:paraId="27CFB269">
      <w:pPr>
        <w:pStyle w:val="22"/>
        <w:spacing w:line="360" w:lineRule="auto"/>
        <w:ind w:left="0" w:leftChars="0" w:firstLine="280" w:firstLineChars="100"/>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（3）投标人法定代表人证明书及授权书加盖公章；</w:t>
      </w:r>
    </w:p>
    <w:p w14:paraId="2D059E26">
      <w:pPr>
        <w:spacing w:line="360" w:lineRule="auto"/>
        <w:ind w:firstLine="280" w:firstLineChars="100"/>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（4）投标电子文件，包含价格、商务和技术文件（U盘或者光盘等）；</w:t>
      </w:r>
    </w:p>
    <w:p w14:paraId="5BAC9D7A">
      <w:pPr>
        <w:pStyle w:val="6"/>
        <w:spacing w:line="360" w:lineRule="auto"/>
        <w:ind w:firstLine="280" w:firstLineChars="100"/>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（5）其他未提及的必要材料文件复印件加盖公章。</w:t>
      </w:r>
    </w:p>
    <w:p w14:paraId="298927A1">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br w:type="page"/>
      </w:r>
    </w:p>
    <w:p w14:paraId="49B68332">
      <w:pPr>
        <w:pStyle w:val="3"/>
        <w:numPr>
          <w:ilvl w:val="0"/>
          <w:numId w:val="0"/>
        </w:numPr>
        <w:bidi w:val="0"/>
        <w:ind w:leftChars="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二</w:t>
      </w:r>
      <w:r>
        <w:rPr>
          <w:rFonts w:hint="eastAsia" w:ascii="仿宋" w:hAnsi="仿宋" w:eastAsia="仿宋" w:cs="仿宋"/>
          <w:color w:val="auto"/>
          <w:sz w:val="28"/>
          <w:szCs w:val="28"/>
          <w:highlight w:val="none"/>
        </w:rPr>
        <w:t>、价格文件格式</w:t>
      </w:r>
      <w:bookmarkEnd w:id="15"/>
    </w:p>
    <w:p w14:paraId="427C8A93">
      <w:pPr>
        <w:pStyle w:val="21"/>
        <w:numPr>
          <w:ilvl w:val="0"/>
          <w:numId w:val="0"/>
        </w:numPr>
        <w:ind w:firstLine="6746" w:firstLineChars="2400"/>
        <w:outlineLvl w:val="1"/>
        <w:rPr>
          <w:rFonts w:hint="eastAsia" w:ascii="仿宋" w:hAnsi="仿宋" w:eastAsia="仿宋" w:cs="仿宋"/>
          <w:color w:val="auto"/>
          <w:sz w:val="28"/>
          <w:szCs w:val="28"/>
          <w:highlight w:val="none"/>
        </w:rPr>
      </w:pPr>
      <w:bookmarkStart w:id="16" w:name="_Toc5413"/>
      <w:bookmarkStart w:id="17" w:name="_Toc1138"/>
      <w:bookmarkStart w:id="18" w:name="_Toc27245"/>
      <w:r>
        <w:rPr>
          <w:rFonts w:hint="eastAsia" w:ascii="仿宋" w:hAnsi="仿宋" w:eastAsia="仿宋" w:cs="仿宋"/>
          <w:color w:val="auto"/>
          <w:sz w:val="28"/>
          <w:szCs w:val="28"/>
          <w:highlight w:val="none"/>
        </w:rPr>
        <w:t>正本/副本</w:t>
      </w:r>
      <w:bookmarkEnd w:id="16"/>
      <w:bookmarkEnd w:id="17"/>
      <w:bookmarkEnd w:id="18"/>
    </w:p>
    <w:p w14:paraId="57A4660C">
      <w:pPr>
        <w:pStyle w:val="21"/>
        <w:numPr>
          <w:ilvl w:val="0"/>
          <w:numId w:val="0"/>
        </w:numPr>
        <w:outlineLvl w:val="9"/>
        <w:rPr>
          <w:rFonts w:hint="eastAsia" w:ascii="仿宋" w:hAnsi="仿宋" w:eastAsia="仿宋" w:cs="仿宋"/>
          <w:color w:val="auto"/>
          <w:sz w:val="28"/>
          <w:szCs w:val="28"/>
          <w:highlight w:val="none"/>
        </w:rPr>
      </w:pPr>
    </w:p>
    <w:p w14:paraId="1795B19C">
      <w:pPr>
        <w:spacing w:line="600" w:lineRule="atLeast"/>
        <w:jc w:val="center"/>
        <w:rPr>
          <w:rFonts w:hint="eastAsia" w:ascii="宋体" w:hAnsi="宋体" w:cs="宋体"/>
          <w:b/>
          <w:color w:val="auto"/>
          <w:sz w:val="72"/>
          <w:szCs w:val="72"/>
          <w:highlight w:val="none"/>
          <w:lang w:eastAsia="zh-CN"/>
        </w:rPr>
      </w:pPr>
      <w:r>
        <w:rPr>
          <w:rFonts w:hint="eastAsia" w:ascii="宋体" w:hAnsi="宋体" w:cs="宋体"/>
          <w:b/>
          <w:color w:val="auto"/>
          <w:sz w:val="72"/>
          <w:szCs w:val="72"/>
          <w:highlight w:val="none"/>
          <w:lang w:eastAsia="zh-CN"/>
        </w:rPr>
        <w:t>东莞市常平镇中心小学食堂食材采购项目</w:t>
      </w:r>
    </w:p>
    <w:p w14:paraId="2E9947F8">
      <w:pPr>
        <w:spacing w:line="600" w:lineRule="atLeast"/>
        <w:jc w:val="center"/>
        <w:rPr>
          <w:color w:val="auto"/>
          <w:highlight w:val="none"/>
        </w:rPr>
      </w:pPr>
      <w:r>
        <w:rPr>
          <w:rFonts w:hint="eastAsia" w:ascii="宋体" w:hAnsi="宋体" w:cs="宋体"/>
          <w:b/>
          <w:color w:val="auto"/>
          <w:sz w:val="28"/>
          <w:szCs w:val="18"/>
          <w:highlight w:val="none"/>
        </w:rPr>
        <w:t>（采购编号：              ）</w:t>
      </w:r>
    </w:p>
    <w:p w14:paraId="548DEA99">
      <w:pPr>
        <w:spacing w:line="600" w:lineRule="atLeast"/>
        <w:jc w:val="center"/>
        <w:rPr>
          <w:rFonts w:ascii="宋体" w:hAnsi="宋体" w:cs="宋体"/>
          <w:b/>
          <w:color w:val="auto"/>
          <w:sz w:val="28"/>
          <w:szCs w:val="18"/>
          <w:highlight w:val="none"/>
        </w:rPr>
      </w:pPr>
      <w:r>
        <w:rPr>
          <w:rFonts w:hint="eastAsia" w:ascii="宋体" w:hAnsi="宋体" w:cs="宋体"/>
          <w:b/>
          <w:color w:val="auto"/>
          <w:sz w:val="28"/>
          <w:szCs w:val="18"/>
          <w:highlight w:val="none"/>
        </w:rPr>
        <w:t>（采购包号：              ）</w:t>
      </w:r>
    </w:p>
    <w:p w14:paraId="7CE54AD5">
      <w:pPr>
        <w:jc w:val="center"/>
        <w:rPr>
          <w:rFonts w:hint="eastAsia" w:ascii="仿宋" w:hAnsi="仿宋" w:eastAsia="仿宋" w:cs="仿宋"/>
          <w:b/>
          <w:color w:val="auto"/>
          <w:sz w:val="28"/>
          <w:szCs w:val="28"/>
          <w:highlight w:val="none"/>
        </w:rPr>
      </w:pPr>
    </w:p>
    <w:p w14:paraId="65F42876">
      <w:pPr>
        <w:spacing w:line="600" w:lineRule="exact"/>
        <w:rPr>
          <w:rFonts w:hint="eastAsia" w:ascii="仿宋" w:hAnsi="仿宋" w:eastAsia="仿宋" w:cs="仿宋"/>
          <w:b/>
          <w:color w:val="auto"/>
          <w:sz w:val="28"/>
          <w:szCs w:val="28"/>
          <w:highlight w:val="none"/>
        </w:rPr>
      </w:pPr>
    </w:p>
    <w:p w14:paraId="2A2431FA">
      <w:pPr>
        <w:snapToGrid w:val="0"/>
        <w:spacing w:line="1100" w:lineRule="exact"/>
        <w:jc w:val="center"/>
        <w:rPr>
          <w:rFonts w:hint="eastAsia" w:ascii="宋体" w:hAnsi="宋体" w:cs="宋体"/>
          <w:b/>
          <w:bCs/>
          <w:color w:val="auto"/>
          <w:spacing w:val="80"/>
          <w:sz w:val="80"/>
          <w:szCs w:val="80"/>
          <w:highlight w:val="none"/>
        </w:rPr>
      </w:pPr>
      <w:r>
        <w:rPr>
          <w:rFonts w:hint="eastAsia" w:ascii="宋体" w:hAnsi="宋体" w:cs="宋体"/>
          <w:b/>
          <w:bCs/>
          <w:color w:val="auto"/>
          <w:spacing w:val="80"/>
          <w:sz w:val="80"/>
          <w:szCs w:val="80"/>
          <w:highlight w:val="none"/>
        </w:rPr>
        <w:t>价格文件</w:t>
      </w:r>
    </w:p>
    <w:p w14:paraId="1E1062AC">
      <w:pPr>
        <w:snapToGrid w:val="0"/>
        <w:spacing w:line="600" w:lineRule="exact"/>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（封面格式仅供参考）</w:t>
      </w:r>
    </w:p>
    <w:p w14:paraId="35D0F94F">
      <w:pPr>
        <w:snapToGrid w:val="0"/>
        <w:spacing w:line="600" w:lineRule="exact"/>
        <w:rPr>
          <w:rFonts w:hint="eastAsia" w:ascii="仿宋" w:hAnsi="仿宋" w:eastAsia="仿宋" w:cs="仿宋"/>
          <w:b/>
          <w:color w:val="auto"/>
          <w:sz w:val="28"/>
          <w:szCs w:val="28"/>
          <w:highlight w:val="none"/>
        </w:rPr>
      </w:pPr>
    </w:p>
    <w:p w14:paraId="532EBE35">
      <w:pPr>
        <w:tabs>
          <w:tab w:val="left" w:pos="3261"/>
        </w:tabs>
        <w:snapToGrid w:val="0"/>
        <w:spacing w:line="480" w:lineRule="atLeast"/>
        <w:ind w:left="-2" w:leftChars="-1" w:firstLine="613" w:firstLineChars="21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投标人名称：</w:t>
      </w:r>
    </w:p>
    <w:p w14:paraId="00D8B9A5">
      <w:pPr>
        <w:snapToGrid w:val="0"/>
        <w:spacing w:line="480" w:lineRule="atLeast"/>
        <w:ind w:firstLine="613" w:firstLineChars="21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投标人地址：</w:t>
      </w:r>
    </w:p>
    <w:p w14:paraId="6BF116A0">
      <w:pPr>
        <w:snapToGrid w:val="0"/>
        <w:spacing w:line="480" w:lineRule="atLeast"/>
        <w:ind w:firstLine="613" w:firstLineChars="21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联 系 人：</w:t>
      </w:r>
    </w:p>
    <w:p w14:paraId="74C38F96">
      <w:pPr>
        <w:snapToGrid w:val="0"/>
        <w:spacing w:line="480" w:lineRule="atLeast"/>
        <w:ind w:firstLine="613" w:firstLineChars="21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联系电话：</w:t>
      </w:r>
    </w:p>
    <w:p w14:paraId="1298F686">
      <w:pPr>
        <w:snapToGrid w:val="0"/>
        <w:spacing w:line="480" w:lineRule="atLeast"/>
        <w:ind w:firstLine="613" w:firstLineChars="21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传    真：</w:t>
      </w:r>
    </w:p>
    <w:p w14:paraId="6ECA51EE">
      <w:pPr>
        <w:snapToGrid w:val="0"/>
        <w:spacing w:line="480" w:lineRule="atLeast"/>
        <w:ind w:firstLine="613" w:firstLineChars="219"/>
        <w:rPr>
          <w:rFonts w:hint="eastAsia" w:ascii="仿宋" w:hAnsi="仿宋" w:eastAsia="仿宋" w:cs="仿宋"/>
          <w:color w:val="auto"/>
          <w:sz w:val="28"/>
          <w:szCs w:val="28"/>
          <w:highlight w:val="none"/>
        </w:rPr>
      </w:pPr>
    </w:p>
    <w:p w14:paraId="7BD78B1D">
      <w:pPr>
        <w:spacing w:line="600" w:lineRule="exact"/>
        <w:ind w:firstLine="2226" w:firstLineChars="792"/>
        <w:rPr>
          <w:rFonts w:hint="eastAsia" w:ascii="仿宋" w:hAnsi="仿宋" w:eastAsia="仿宋" w:cs="仿宋"/>
          <w:b/>
          <w:color w:val="auto"/>
          <w:sz w:val="28"/>
          <w:szCs w:val="28"/>
          <w:highlight w:val="none"/>
        </w:rPr>
      </w:pPr>
    </w:p>
    <w:p w14:paraId="4B405320">
      <w:pPr>
        <w:spacing w:line="600" w:lineRule="exact"/>
        <w:ind w:firstLine="2226" w:firstLineChars="792"/>
        <w:rPr>
          <w:rFonts w:hint="eastAsia" w:ascii="仿宋" w:hAnsi="仿宋" w:eastAsia="仿宋" w:cs="仿宋"/>
          <w:b/>
          <w:color w:val="auto"/>
          <w:sz w:val="28"/>
          <w:szCs w:val="28"/>
          <w:highlight w:val="none"/>
        </w:rPr>
      </w:pPr>
    </w:p>
    <w:p w14:paraId="667835C5">
      <w:pPr>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日    期：</w:t>
      </w:r>
      <w:r>
        <w:rPr>
          <w:rFonts w:hint="eastAsia" w:ascii="仿宋" w:hAnsi="仿宋" w:eastAsia="仿宋" w:cs="仿宋"/>
          <w:b/>
          <w:color w:val="auto"/>
          <w:sz w:val="28"/>
          <w:szCs w:val="28"/>
          <w:highlight w:val="none"/>
          <w:lang w:eastAsia="zh-CN"/>
        </w:rPr>
        <w:t>二〇二五</w:t>
      </w:r>
      <w:r>
        <w:rPr>
          <w:rFonts w:hint="eastAsia" w:ascii="仿宋" w:hAnsi="仿宋" w:eastAsia="仿宋" w:cs="仿宋"/>
          <w:b/>
          <w:color w:val="auto"/>
          <w:sz w:val="28"/>
          <w:szCs w:val="28"/>
          <w:highlight w:val="none"/>
        </w:rPr>
        <w:t xml:space="preserve"> 年   月</w:t>
      </w:r>
    </w:p>
    <w:p w14:paraId="41AD3A20">
      <w:pP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br w:type="page"/>
      </w:r>
    </w:p>
    <w:p w14:paraId="23CC1E49">
      <w:pPr>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投标一览表</w:t>
      </w:r>
    </w:p>
    <w:p w14:paraId="58B44B43">
      <w:pPr>
        <w:jc w:val="center"/>
        <w:rPr>
          <w:rFonts w:hint="eastAsia" w:ascii="仿宋" w:hAnsi="仿宋" w:eastAsia="仿宋" w:cs="仿宋"/>
          <w:b/>
          <w:color w:val="auto"/>
          <w:sz w:val="28"/>
          <w:szCs w:val="28"/>
          <w:highlight w:val="none"/>
        </w:rPr>
      </w:pPr>
    </w:p>
    <w:p w14:paraId="0490C9C2">
      <w:pPr>
        <w:pStyle w:val="16"/>
        <w:spacing w:line="360" w:lineRule="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采购项目编号：</w:t>
      </w:r>
    </w:p>
    <w:p w14:paraId="4820C6DE">
      <w:pPr>
        <w:pStyle w:val="16"/>
        <w:spacing w:line="360" w:lineRule="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项目名称：</w:t>
      </w:r>
    </w:p>
    <w:p w14:paraId="63CC4565">
      <w:pPr>
        <w:pStyle w:val="16"/>
        <w:spacing w:line="360" w:lineRule="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投标人名称：</w:t>
      </w:r>
    </w:p>
    <w:p w14:paraId="4C1865E7">
      <w:pPr>
        <w:pStyle w:val="16"/>
        <w:spacing w:line="360" w:lineRule="auto"/>
        <w:rPr>
          <w:rFonts w:hint="default"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采购包：</w:t>
      </w:r>
    </w:p>
    <w:tbl>
      <w:tblPr>
        <w:tblStyle w:val="12"/>
        <w:tblW w:w="888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28"/>
        <w:gridCol w:w="2823"/>
        <w:gridCol w:w="1853"/>
        <w:gridCol w:w="1618"/>
        <w:gridCol w:w="1764"/>
      </w:tblGrid>
      <w:tr w14:paraId="6B2936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757" w:hRule="atLeast"/>
        </w:trPr>
        <w:tc>
          <w:tcPr>
            <w:tcW w:w="828" w:type="dxa"/>
          </w:tcPr>
          <w:p w14:paraId="21E3FD6B">
            <w:pPr>
              <w:pStyle w:val="16"/>
              <w:spacing w:line="360" w:lineRule="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序号</w:t>
            </w:r>
          </w:p>
        </w:tc>
        <w:tc>
          <w:tcPr>
            <w:tcW w:w="2823" w:type="dxa"/>
          </w:tcPr>
          <w:p w14:paraId="0B0F8818">
            <w:pPr>
              <w:pStyle w:val="16"/>
              <w:spacing w:line="360" w:lineRule="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采购项目名称/采购包名称</w:t>
            </w:r>
          </w:p>
        </w:tc>
        <w:tc>
          <w:tcPr>
            <w:tcW w:w="1853" w:type="dxa"/>
          </w:tcPr>
          <w:p w14:paraId="5B615A5C">
            <w:pPr>
              <w:pStyle w:val="16"/>
              <w:spacing w:line="360" w:lineRule="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投标下浮率（%）</w:t>
            </w:r>
          </w:p>
        </w:tc>
        <w:tc>
          <w:tcPr>
            <w:tcW w:w="1618" w:type="dxa"/>
          </w:tcPr>
          <w:p w14:paraId="38FBEEDD">
            <w:pPr>
              <w:pStyle w:val="16"/>
              <w:spacing w:line="360" w:lineRule="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交货或服务期</w:t>
            </w:r>
          </w:p>
        </w:tc>
        <w:tc>
          <w:tcPr>
            <w:tcW w:w="1764" w:type="dxa"/>
          </w:tcPr>
          <w:p w14:paraId="4334E677">
            <w:pPr>
              <w:pStyle w:val="16"/>
              <w:spacing w:line="360" w:lineRule="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交货或服务地点</w:t>
            </w:r>
          </w:p>
        </w:tc>
      </w:tr>
      <w:tr w14:paraId="7F0C33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821" w:hRule="atLeast"/>
        </w:trPr>
        <w:tc>
          <w:tcPr>
            <w:tcW w:w="828" w:type="dxa"/>
          </w:tcPr>
          <w:p w14:paraId="46211E92">
            <w:pPr>
              <w:pStyle w:val="16"/>
              <w:spacing w:line="360" w:lineRule="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 xml:space="preserve"> 1</w:t>
            </w:r>
          </w:p>
        </w:tc>
        <w:tc>
          <w:tcPr>
            <w:tcW w:w="2823" w:type="dxa"/>
          </w:tcPr>
          <w:p w14:paraId="5F1B4DAE">
            <w:pPr>
              <w:spacing w:line="360" w:lineRule="auto"/>
              <w:rPr>
                <w:rFonts w:hint="eastAsia" w:ascii="仿宋" w:hAnsi="仿宋" w:eastAsia="仿宋" w:cs="仿宋"/>
                <w:color w:val="auto"/>
                <w:kern w:val="2"/>
                <w:sz w:val="28"/>
                <w:szCs w:val="28"/>
                <w:highlight w:val="none"/>
                <w:lang w:val="en-US" w:eastAsia="zh-CN" w:bidi="ar-SA"/>
              </w:rPr>
            </w:pPr>
          </w:p>
        </w:tc>
        <w:tc>
          <w:tcPr>
            <w:tcW w:w="1853" w:type="dxa"/>
          </w:tcPr>
          <w:p w14:paraId="6B3A2E61">
            <w:pPr>
              <w:spacing w:line="360" w:lineRule="auto"/>
              <w:rPr>
                <w:rFonts w:hint="eastAsia" w:ascii="仿宋" w:hAnsi="仿宋" w:eastAsia="仿宋" w:cs="仿宋"/>
                <w:color w:val="auto"/>
                <w:kern w:val="2"/>
                <w:sz w:val="28"/>
                <w:szCs w:val="28"/>
                <w:highlight w:val="none"/>
                <w:lang w:val="en-US" w:eastAsia="zh-CN" w:bidi="ar-SA"/>
              </w:rPr>
            </w:pPr>
          </w:p>
        </w:tc>
        <w:tc>
          <w:tcPr>
            <w:tcW w:w="1618" w:type="dxa"/>
          </w:tcPr>
          <w:p w14:paraId="6ABDDB51">
            <w:pPr>
              <w:spacing w:line="360" w:lineRule="auto"/>
              <w:rPr>
                <w:rFonts w:hint="eastAsia" w:ascii="仿宋" w:hAnsi="仿宋" w:eastAsia="仿宋" w:cs="仿宋"/>
                <w:color w:val="auto"/>
                <w:kern w:val="2"/>
                <w:sz w:val="28"/>
                <w:szCs w:val="28"/>
                <w:highlight w:val="none"/>
                <w:lang w:val="en-US" w:eastAsia="zh-CN" w:bidi="ar-SA"/>
              </w:rPr>
            </w:pPr>
          </w:p>
        </w:tc>
        <w:tc>
          <w:tcPr>
            <w:tcW w:w="1764" w:type="dxa"/>
          </w:tcPr>
          <w:p w14:paraId="5678094C">
            <w:pPr>
              <w:spacing w:line="360" w:lineRule="auto"/>
              <w:rPr>
                <w:rFonts w:hint="eastAsia" w:ascii="仿宋" w:hAnsi="仿宋" w:eastAsia="仿宋" w:cs="仿宋"/>
                <w:color w:val="auto"/>
                <w:kern w:val="2"/>
                <w:sz w:val="28"/>
                <w:szCs w:val="28"/>
                <w:highlight w:val="none"/>
                <w:lang w:val="en-US" w:eastAsia="zh-CN" w:bidi="ar-SA"/>
              </w:rPr>
            </w:pPr>
          </w:p>
        </w:tc>
      </w:tr>
    </w:tbl>
    <w:p w14:paraId="3EA7EE83">
      <w:pPr>
        <w:overflowPunct w:val="0"/>
        <w:adjustRightInd w:val="0"/>
        <w:spacing w:line="360" w:lineRule="auto"/>
        <w:rPr>
          <w:rFonts w:hint="eastAsia" w:ascii="仿宋" w:hAnsi="仿宋" w:eastAsia="仿宋" w:cs="仿宋"/>
          <w:color w:val="auto"/>
          <w:sz w:val="28"/>
          <w:szCs w:val="28"/>
          <w:highlight w:val="none"/>
        </w:rPr>
      </w:pPr>
    </w:p>
    <w:p w14:paraId="7A4BD0F0">
      <w:pPr>
        <w:overflowPunct w:val="0"/>
        <w:adjustRightInd w:val="0"/>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投标人名称（加盖公章）：</w:t>
      </w:r>
    </w:p>
    <w:p w14:paraId="261B3357">
      <w:pPr>
        <w:overflowPunct w:val="0"/>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投标人法定代表人或受委托人（签名或盖私章）： </w:t>
      </w:r>
    </w:p>
    <w:p w14:paraId="580D3704">
      <w:pPr>
        <w:overflowPunct w:val="0"/>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日期：      年    月    日 </w:t>
      </w:r>
    </w:p>
    <w:p w14:paraId="2FB29B1C">
      <w:pPr>
        <w:pStyle w:val="17"/>
        <w:spacing w:line="360" w:lineRule="auto"/>
        <w:ind w:firstLine="440"/>
        <w:rPr>
          <w:rFonts w:hint="eastAsia" w:ascii="仿宋" w:hAnsi="仿宋" w:eastAsia="仿宋" w:cs="仿宋"/>
          <w:color w:val="auto"/>
          <w:sz w:val="28"/>
          <w:szCs w:val="28"/>
          <w:highlight w:val="none"/>
          <w:lang w:val="en-US"/>
        </w:rPr>
      </w:pPr>
    </w:p>
    <w:p w14:paraId="419EA07C">
      <w:pPr>
        <w:pStyle w:val="17"/>
        <w:ind w:firstLine="440"/>
        <w:rPr>
          <w:rFonts w:hint="eastAsia" w:ascii="仿宋" w:hAnsi="仿宋" w:eastAsia="仿宋" w:cs="仿宋"/>
          <w:color w:val="auto"/>
          <w:sz w:val="28"/>
          <w:szCs w:val="28"/>
          <w:highlight w:val="none"/>
          <w:lang w:val="en-US"/>
        </w:rPr>
      </w:pPr>
    </w:p>
    <w:p w14:paraId="1E5728A1">
      <w:pPr>
        <w:pStyle w:val="17"/>
        <w:ind w:firstLine="440"/>
        <w:rPr>
          <w:rFonts w:hint="eastAsia" w:ascii="仿宋" w:hAnsi="仿宋" w:eastAsia="仿宋" w:cs="仿宋"/>
          <w:color w:val="auto"/>
          <w:sz w:val="28"/>
          <w:szCs w:val="28"/>
          <w:highlight w:val="none"/>
          <w:lang w:val="en-US"/>
        </w:rPr>
      </w:pPr>
    </w:p>
    <w:p w14:paraId="00E2BB13">
      <w:pPr>
        <w:pStyle w:val="17"/>
        <w:ind w:firstLine="440"/>
        <w:rPr>
          <w:rFonts w:hint="eastAsia" w:ascii="仿宋" w:hAnsi="仿宋" w:eastAsia="仿宋" w:cs="仿宋"/>
          <w:color w:val="auto"/>
          <w:sz w:val="28"/>
          <w:szCs w:val="28"/>
          <w:highlight w:val="none"/>
          <w:lang w:val="en-US"/>
        </w:rPr>
      </w:pPr>
    </w:p>
    <w:p w14:paraId="3878E8C7">
      <w:pPr>
        <w:pStyle w:val="17"/>
        <w:ind w:firstLine="440"/>
        <w:rPr>
          <w:rFonts w:hint="eastAsia" w:ascii="仿宋" w:hAnsi="仿宋" w:eastAsia="仿宋" w:cs="仿宋"/>
          <w:color w:val="auto"/>
          <w:sz w:val="28"/>
          <w:szCs w:val="28"/>
          <w:highlight w:val="none"/>
          <w:lang w:val="en-US"/>
        </w:rPr>
      </w:pPr>
    </w:p>
    <w:p w14:paraId="550FD17B">
      <w:pPr>
        <w:pStyle w:val="17"/>
        <w:ind w:firstLine="440"/>
        <w:rPr>
          <w:rFonts w:hint="eastAsia" w:ascii="仿宋" w:hAnsi="仿宋" w:eastAsia="仿宋" w:cs="仿宋"/>
          <w:color w:val="auto"/>
          <w:sz w:val="28"/>
          <w:szCs w:val="28"/>
          <w:highlight w:val="none"/>
          <w:lang w:val="en-US"/>
        </w:rPr>
      </w:pPr>
    </w:p>
    <w:p w14:paraId="6690938E">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注：</w:t>
      </w:r>
    </w:p>
    <w:p w14:paraId="372CF71E">
      <w:pPr>
        <w:numPr>
          <w:ilvl w:val="0"/>
          <w:numId w:val="3"/>
        </w:num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投标总价栏须用大写金额和小写金额两种方式表示的投标总价，报价保留小数点后两位。投标总价大小写不一致，以大写为准。投标总价必须准确唯一且应包含招标文件要求的所有费用。</w:t>
      </w:r>
    </w:p>
    <w:p w14:paraId="7CF5027F">
      <w:pPr>
        <w:numPr>
          <w:ilvl w:val="0"/>
          <w:numId w:val="3"/>
        </w:num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此表应按投标人须知的规定密封标记并与《授权委托书》、《投标保证金汇入情况说明》同密封单独提交。</w:t>
      </w:r>
    </w:p>
    <w:p w14:paraId="31E589C6">
      <w:pPr>
        <w:numPr>
          <w:ilvl w:val="0"/>
          <w:numId w:val="3"/>
        </w:num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未按招标文件要求报价、填写投标一览表是导致投标人无效响应的常见问题，请投标人仔细填写，认真核对。</w:t>
      </w:r>
      <w:bookmarkStart w:id="19" w:name="_Toc435693799"/>
      <w:bookmarkStart w:id="20" w:name="_Toc382049133"/>
      <w:bookmarkStart w:id="21" w:name="_Toc311032581"/>
      <w:bookmarkStart w:id="22" w:name="_Toc427849341"/>
      <w:bookmarkStart w:id="23" w:name="_Toc210188795"/>
    </w:p>
    <w:bookmarkEnd w:id="19"/>
    <w:bookmarkEnd w:id="20"/>
    <w:bookmarkEnd w:id="21"/>
    <w:bookmarkEnd w:id="22"/>
    <w:bookmarkEnd w:id="23"/>
    <w:p w14:paraId="6F1B99E0">
      <w:pPr>
        <w:pStyle w:val="6"/>
        <w:spacing w:line="360" w:lineRule="auto"/>
        <w:ind w:right="300"/>
        <w:jc w:val="both"/>
        <w:rPr>
          <w:rFonts w:hint="eastAsia" w:ascii="仿宋" w:hAnsi="仿宋" w:eastAsia="仿宋" w:cs="仿宋"/>
          <w:b/>
          <w:color w:val="auto"/>
          <w:sz w:val="28"/>
          <w:szCs w:val="28"/>
          <w:highlight w:val="none"/>
        </w:rPr>
      </w:pPr>
    </w:p>
    <w:p w14:paraId="3850559A">
      <w:pP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政策适用性说明</w:t>
      </w:r>
    </w:p>
    <w:p w14:paraId="49D69C95">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按照采购有关政策的要求，在本次的技术方案中，采用符合政策的小型或微型企业产品、节能产品、环境标志产品，主要产品与核心技术介绍说明如下：</w:t>
      </w:r>
    </w:p>
    <w:tbl>
      <w:tblPr>
        <w:tblStyle w:val="12"/>
        <w:tblW w:w="8607"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636"/>
        <w:gridCol w:w="1556"/>
        <w:gridCol w:w="1056"/>
        <w:gridCol w:w="1087"/>
        <w:gridCol w:w="968"/>
        <w:gridCol w:w="928"/>
        <w:gridCol w:w="1036"/>
        <w:gridCol w:w="1340"/>
      </w:tblGrid>
      <w:tr w14:paraId="73EDEE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22" w:type="dxa"/>
            <w:vAlign w:val="center"/>
          </w:tcPr>
          <w:p w14:paraId="6ABB3920">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序号</w:t>
            </w:r>
          </w:p>
        </w:tc>
        <w:tc>
          <w:tcPr>
            <w:tcW w:w="1559" w:type="dxa"/>
            <w:vAlign w:val="center"/>
          </w:tcPr>
          <w:p w14:paraId="3C947615">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主要产品/技术名称（规格型号、注册商标）</w:t>
            </w:r>
          </w:p>
        </w:tc>
        <w:tc>
          <w:tcPr>
            <w:tcW w:w="1058" w:type="dxa"/>
            <w:vAlign w:val="center"/>
          </w:tcPr>
          <w:p w14:paraId="3C418B16">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制造商(开发商)</w:t>
            </w:r>
          </w:p>
        </w:tc>
        <w:tc>
          <w:tcPr>
            <w:tcW w:w="1089" w:type="dxa"/>
            <w:vAlign w:val="center"/>
          </w:tcPr>
          <w:p w14:paraId="38DF7988">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制造商企业类型</w:t>
            </w:r>
          </w:p>
        </w:tc>
        <w:tc>
          <w:tcPr>
            <w:tcW w:w="970" w:type="dxa"/>
            <w:vAlign w:val="center"/>
          </w:tcPr>
          <w:p w14:paraId="64599AF6">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节能产品</w:t>
            </w:r>
          </w:p>
        </w:tc>
        <w:tc>
          <w:tcPr>
            <w:tcW w:w="930" w:type="dxa"/>
            <w:vAlign w:val="center"/>
          </w:tcPr>
          <w:p w14:paraId="6FCB26E5">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环境标志产品</w:t>
            </w:r>
          </w:p>
        </w:tc>
        <w:tc>
          <w:tcPr>
            <w:tcW w:w="1038" w:type="dxa"/>
            <w:vAlign w:val="center"/>
          </w:tcPr>
          <w:p w14:paraId="44787F2B">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认证证书编号</w:t>
            </w:r>
          </w:p>
        </w:tc>
        <w:tc>
          <w:tcPr>
            <w:tcW w:w="1341" w:type="dxa"/>
            <w:vAlign w:val="center"/>
          </w:tcPr>
          <w:p w14:paraId="64B6B582">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该产品报价在总报价中占比（%）</w:t>
            </w:r>
          </w:p>
        </w:tc>
      </w:tr>
      <w:tr w14:paraId="617C94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22" w:type="dxa"/>
            <w:vAlign w:val="center"/>
          </w:tcPr>
          <w:p w14:paraId="270F287F">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p>
        </w:tc>
        <w:tc>
          <w:tcPr>
            <w:tcW w:w="1559" w:type="dxa"/>
            <w:vAlign w:val="center"/>
          </w:tcPr>
          <w:p w14:paraId="4A06E810">
            <w:pPr>
              <w:spacing w:line="360" w:lineRule="auto"/>
              <w:jc w:val="center"/>
              <w:rPr>
                <w:rFonts w:hint="eastAsia" w:ascii="仿宋" w:hAnsi="仿宋" w:eastAsia="仿宋" w:cs="仿宋"/>
                <w:color w:val="auto"/>
                <w:sz w:val="28"/>
                <w:szCs w:val="28"/>
                <w:highlight w:val="none"/>
              </w:rPr>
            </w:pPr>
          </w:p>
        </w:tc>
        <w:tc>
          <w:tcPr>
            <w:tcW w:w="1058" w:type="dxa"/>
            <w:vAlign w:val="center"/>
          </w:tcPr>
          <w:p w14:paraId="7FBD0E9B">
            <w:pPr>
              <w:spacing w:line="360" w:lineRule="auto"/>
              <w:jc w:val="center"/>
              <w:rPr>
                <w:rFonts w:hint="eastAsia" w:ascii="仿宋" w:hAnsi="仿宋" w:eastAsia="仿宋" w:cs="仿宋"/>
                <w:color w:val="auto"/>
                <w:sz w:val="28"/>
                <w:szCs w:val="28"/>
                <w:highlight w:val="none"/>
              </w:rPr>
            </w:pPr>
          </w:p>
        </w:tc>
        <w:tc>
          <w:tcPr>
            <w:tcW w:w="1089" w:type="dxa"/>
            <w:vAlign w:val="center"/>
          </w:tcPr>
          <w:p w14:paraId="10F27D1C">
            <w:pPr>
              <w:spacing w:line="360" w:lineRule="auto"/>
              <w:jc w:val="center"/>
              <w:rPr>
                <w:rFonts w:hint="eastAsia" w:ascii="仿宋" w:hAnsi="仿宋" w:eastAsia="仿宋" w:cs="仿宋"/>
                <w:color w:val="auto"/>
                <w:sz w:val="28"/>
                <w:szCs w:val="28"/>
                <w:highlight w:val="none"/>
              </w:rPr>
            </w:pPr>
          </w:p>
        </w:tc>
        <w:tc>
          <w:tcPr>
            <w:tcW w:w="970" w:type="dxa"/>
            <w:vAlign w:val="center"/>
          </w:tcPr>
          <w:p w14:paraId="55BEBA34">
            <w:pPr>
              <w:spacing w:line="360" w:lineRule="auto"/>
              <w:jc w:val="center"/>
              <w:rPr>
                <w:rFonts w:hint="eastAsia" w:ascii="仿宋" w:hAnsi="仿宋" w:eastAsia="仿宋" w:cs="仿宋"/>
                <w:color w:val="auto"/>
                <w:sz w:val="28"/>
                <w:szCs w:val="28"/>
                <w:highlight w:val="none"/>
              </w:rPr>
            </w:pPr>
          </w:p>
        </w:tc>
        <w:tc>
          <w:tcPr>
            <w:tcW w:w="930" w:type="dxa"/>
            <w:vAlign w:val="center"/>
          </w:tcPr>
          <w:p w14:paraId="2572B304">
            <w:pPr>
              <w:spacing w:line="360" w:lineRule="auto"/>
              <w:jc w:val="center"/>
              <w:rPr>
                <w:rFonts w:hint="eastAsia" w:ascii="仿宋" w:hAnsi="仿宋" w:eastAsia="仿宋" w:cs="仿宋"/>
                <w:color w:val="auto"/>
                <w:sz w:val="28"/>
                <w:szCs w:val="28"/>
                <w:highlight w:val="none"/>
              </w:rPr>
            </w:pPr>
          </w:p>
        </w:tc>
        <w:tc>
          <w:tcPr>
            <w:tcW w:w="1038" w:type="dxa"/>
            <w:vAlign w:val="center"/>
          </w:tcPr>
          <w:p w14:paraId="1139E6D3">
            <w:pPr>
              <w:spacing w:line="360" w:lineRule="auto"/>
              <w:jc w:val="center"/>
              <w:rPr>
                <w:rFonts w:hint="eastAsia" w:ascii="仿宋" w:hAnsi="仿宋" w:eastAsia="仿宋" w:cs="仿宋"/>
                <w:color w:val="auto"/>
                <w:sz w:val="28"/>
                <w:szCs w:val="28"/>
                <w:highlight w:val="none"/>
              </w:rPr>
            </w:pPr>
          </w:p>
        </w:tc>
        <w:tc>
          <w:tcPr>
            <w:tcW w:w="1341" w:type="dxa"/>
            <w:vAlign w:val="center"/>
          </w:tcPr>
          <w:p w14:paraId="1DC454E7">
            <w:pPr>
              <w:spacing w:line="360" w:lineRule="auto"/>
              <w:jc w:val="center"/>
              <w:rPr>
                <w:rFonts w:hint="eastAsia" w:ascii="仿宋" w:hAnsi="仿宋" w:eastAsia="仿宋" w:cs="仿宋"/>
                <w:color w:val="auto"/>
                <w:sz w:val="28"/>
                <w:szCs w:val="28"/>
                <w:highlight w:val="none"/>
              </w:rPr>
            </w:pPr>
          </w:p>
        </w:tc>
      </w:tr>
      <w:tr w14:paraId="58CF87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22" w:type="dxa"/>
            <w:vAlign w:val="center"/>
          </w:tcPr>
          <w:p w14:paraId="7AB836EF">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w:t>
            </w:r>
          </w:p>
        </w:tc>
        <w:tc>
          <w:tcPr>
            <w:tcW w:w="1559" w:type="dxa"/>
            <w:vAlign w:val="center"/>
          </w:tcPr>
          <w:p w14:paraId="6DFB8770">
            <w:pPr>
              <w:spacing w:line="360" w:lineRule="auto"/>
              <w:jc w:val="center"/>
              <w:rPr>
                <w:rFonts w:hint="eastAsia" w:ascii="仿宋" w:hAnsi="仿宋" w:eastAsia="仿宋" w:cs="仿宋"/>
                <w:color w:val="auto"/>
                <w:sz w:val="28"/>
                <w:szCs w:val="28"/>
                <w:highlight w:val="none"/>
              </w:rPr>
            </w:pPr>
          </w:p>
        </w:tc>
        <w:tc>
          <w:tcPr>
            <w:tcW w:w="1058" w:type="dxa"/>
            <w:vAlign w:val="center"/>
          </w:tcPr>
          <w:p w14:paraId="58B15205">
            <w:pPr>
              <w:spacing w:line="360" w:lineRule="auto"/>
              <w:jc w:val="center"/>
              <w:rPr>
                <w:rFonts w:hint="eastAsia" w:ascii="仿宋" w:hAnsi="仿宋" w:eastAsia="仿宋" w:cs="仿宋"/>
                <w:color w:val="auto"/>
                <w:sz w:val="28"/>
                <w:szCs w:val="28"/>
                <w:highlight w:val="none"/>
              </w:rPr>
            </w:pPr>
          </w:p>
        </w:tc>
        <w:tc>
          <w:tcPr>
            <w:tcW w:w="1089" w:type="dxa"/>
            <w:vAlign w:val="center"/>
          </w:tcPr>
          <w:p w14:paraId="72DE518B">
            <w:pPr>
              <w:spacing w:line="360" w:lineRule="auto"/>
              <w:jc w:val="center"/>
              <w:rPr>
                <w:rFonts w:hint="eastAsia" w:ascii="仿宋" w:hAnsi="仿宋" w:eastAsia="仿宋" w:cs="仿宋"/>
                <w:color w:val="auto"/>
                <w:sz w:val="28"/>
                <w:szCs w:val="28"/>
                <w:highlight w:val="none"/>
              </w:rPr>
            </w:pPr>
          </w:p>
        </w:tc>
        <w:tc>
          <w:tcPr>
            <w:tcW w:w="970" w:type="dxa"/>
            <w:vAlign w:val="center"/>
          </w:tcPr>
          <w:p w14:paraId="71F779F2">
            <w:pPr>
              <w:spacing w:line="360" w:lineRule="auto"/>
              <w:jc w:val="center"/>
              <w:rPr>
                <w:rFonts w:hint="eastAsia" w:ascii="仿宋" w:hAnsi="仿宋" w:eastAsia="仿宋" w:cs="仿宋"/>
                <w:color w:val="auto"/>
                <w:sz w:val="28"/>
                <w:szCs w:val="28"/>
                <w:highlight w:val="none"/>
              </w:rPr>
            </w:pPr>
          </w:p>
        </w:tc>
        <w:tc>
          <w:tcPr>
            <w:tcW w:w="930" w:type="dxa"/>
            <w:vAlign w:val="center"/>
          </w:tcPr>
          <w:p w14:paraId="628321FA">
            <w:pPr>
              <w:spacing w:line="360" w:lineRule="auto"/>
              <w:jc w:val="center"/>
              <w:rPr>
                <w:rFonts w:hint="eastAsia" w:ascii="仿宋" w:hAnsi="仿宋" w:eastAsia="仿宋" w:cs="仿宋"/>
                <w:color w:val="auto"/>
                <w:sz w:val="28"/>
                <w:szCs w:val="28"/>
                <w:highlight w:val="none"/>
              </w:rPr>
            </w:pPr>
          </w:p>
        </w:tc>
        <w:tc>
          <w:tcPr>
            <w:tcW w:w="1038" w:type="dxa"/>
            <w:vAlign w:val="center"/>
          </w:tcPr>
          <w:p w14:paraId="4A8C8B01">
            <w:pPr>
              <w:spacing w:line="360" w:lineRule="auto"/>
              <w:jc w:val="center"/>
              <w:rPr>
                <w:rFonts w:hint="eastAsia" w:ascii="仿宋" w:hAnsi="仿宋" w:eastAsia="仿宋" w:cs="仿宋"/>
                <w:color w:val="auto"/>
                <w:sz w:val="28"/>
                <w:szCs w:val="28"/>
                <w:highlight w:val="none"/>
              </w:rPr>
            </w:pPr>
          </w:p>
        </w:tc>
        <w:tc>
          <w:tcPr>
            <w:tcW w:w="1341" w:type="dxa"/>
            <w:vAlign w:val="center"/>
          </w:tcPr>
          <w:p w14:paraId="46E4B1DF">
            <w:pPr>
              <w:spacing w:line="360" w:lineRule="auto"/>
              <w:jc w:val="center"/>
              <w:rPr>
                <w:rFonts w:hint="eastAsia" w:ascii="仿宋" w:hAnsi="仿宋" w:eastAsia="仿宋" w:cs="仿宋"/>
                <w:color w:val="auto"/>
                <w:sz w:val="28"/>
                <w:szCs w:val="28"/>
                <w:highlight w:val="none"/>
              </w:rPr>
            </w:pPr>
          </w:p>
        </w:tc>
      </w:tr>
      <w:tr w14:paraId="5F780A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22" w:type="dxa"/>
            <w:vAlign w:val="center"/>
          </w:tcPr>
          <w:p w14:paraId="38044E79">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w:t>
            </w:r>
          </w:p>
        </w:tc>
        <w:tc>
          <w:tcPr>
            <w:tcW w:w="1559" w:type="dxa"/>
            <w:vAlign w:val="center"/>
          </w:tcPr>
          <w:p w14:paraId="1B454804">
            <w:pPr>
              <w:spacing w:line="360" w:lineRule="auto"/>
              <w:jc w:val="center"/>
              <w:rPr>
                <w:rFonts w:hint="eastAsia" w:ascii="仿宋" w:hAnsi="仿宋" w:eastAsia="仿宋" w:cs="仿宋"/>
                <w:color w:val="auto"/>
                <w:sz w:val="28"/>
                <w:szCs w:val="28"/>
                <w:highlight w:val="none"/>
              </w:rPr>
            </w:pPr>
          </w:p>
        </w:tc>
        <w:tc>
          <w:tcPr>
            <w:tcW w:w="1058" w:type="dxa"/>
            <w:vAlign w:val="center"/>
          </w:tcPr>
          <w:p w14:paraId="1B0727DE">
            <w:pPr>
              <w:spacing w:line="360" w:lineRule="auto"/>
              <w:jc w:val="center"/>
              <w:rPr>
                <w:rFonts w:hint="eastAsia" w:ascii="仿宋" w:hAnsi="仿宋" w:eastAsia="仿宋" w:cs="仿宋"/>
                <w:color w:val="auto"/>
                <w:sz w:val="28"/>
                <w:szCs w:val="28"/>
                <w:highlight w:val="none"/>
              </w:rPr>
            </w:pPr>
          </w:p>
        </w:tc>
        <w:tc>
          <w:tcPr>
            <w:tcW w:w="1089" w:type="dxa"/>
            <w:vAlign w:val="center"/>
          </w:tcPr>
          <w:p w14:paraId="099CDDFA">
            <w:pPr>
              <w:spacing w:line="360" w:lineRule="auto"/>
              <w:jc w:val="center"/>
              <w:rPr>
                <w:rFonts w:hint="eastAsia" w:ascii="仿宋" w:hAnsi="仿宋" w:eastAsia="仿宋" w:cs="仿宋"/>
                <w:color w:val="auto"/>
                <w:sz w:val="28"/>
                <w:szCs w:val="28"/>
                <w:highlight w:val="none"/>
              </w:rPr>
            </w:pPr>
          </w:p>
        </w:tc>
        <w:tc>
          <w:tcPr>
            <w:tcW w:w="970" w:type="dxa"/>
            <w:vAlign w:val="center"/>
          </w:tcPr>
          <w:p w14:paraId="15F4A052">
            <w:pPr>
              <w:spacing w:line="360" w:lineRule="auto"/>
              <w:jc w:val="center"/>
              <w:rPr>
                <w:rFonts w:hint="eastAsia" w:ascii="仿宋" w:hAnsi="仿宋" w:eastAsia="仿宋" w:cs="仿宋"/>
                <w:color w:val="auto"/>
                <w:sz w:val="28"/>
                <w:szCs w:val="28"/>
                <w:highlight w:val="none"/>
              </w:rPr>
            </w:pPr>
          </w:p>
        </w:tc>
        <w:tc>
          <w:tcPr>
            <w:tcW w:w="930" w:type="dxa"/>
            <w:vAlign w:val="center"/>
          </w:tcPr>
          <w:p w14:paraId="3F55BA98">
            <w:pPr>
              <w:spacing w:line="360" w:lineRule="auto"/>
              <w:jc w:val="center"/>
              <w:rPr>
                <w:rFonts w:hint="eastAsia" w:ascii="仿宋" w:hAnsi="仿宋" w:eastAsia="仿宋" w:cs="仿宋"/>
                <w:color w:val="auto"/>
                <w:sz w:val="28"/>
                <w:szCs w:val="28"/>
                <w:highlight w:val="none"/>
              </w:rPr>
            </w:pPr>
          </w:p>
        </w:tc>
        <w:tc>
          <w:tcPr>
            <w:tcW w:w="1038" w:type="dxa"/>
            <w:vAlign w:val="center"/>
          </w:tcPr>
          <w:p w14:paraId="01942204">
            <w:pPr>
              <w:spacing w:line="360" w:lineRule="auto"/>
              <w:jc w:val="center"/>
              <w:rPr>
                <w:rFonts w:hint="eastAsia" w:ascii="仿宋" w:hAnsi="仿宋" w:eastAsia="仿宋" w:cs="仿宋"/>
                <w:color w:val="auto"/>
                <w:sz w:val="28"/>
                <w:szCs w:val="28"/>
                <w:highlight w:val="none"/>
              </w:rPr>
            </w:pPr>
          </w:p>
        </w:tc>
        <w:tc>
          <w:tcPr>
            <w:tcW w:w="1341" w:type="dxa"/>
            <w:vAlign w:val="center"/>
          </w:tcPr>
          <w:p w14:paraId="344E5379">
            <w:pPr>
              <w:spacing w:line="360" w:lineRule="auto"/>
              <w:jc w:val="center"/>
              <w:rPr>
                <w:rFonts w:hint="eastAsia" w:ascii="仿宋" w:hAnsi="仿宋" w:eastAsia="仿宋" w:cs="仿宋"/>
                <w:color w:val="auto"/>
                <w:sz w:val="28"/>
                <w:szCs w:val="28"/>
                <w:highlight w:val="none"/>
              </w:rPr>
            </w:pPr>
          </w:p>
        </w:tc>
      </w:tr>
      <w:tr w14:paraId="19D188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22" w:type="dxa"/>
            <w:vAlign w:val="center"/>
          </w:tcPr>
          <w:p w14:paraId="41988241">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w:t>
            </w:r>
          </w:p>
        </w:tc>
        <w:tc>
          <w:tcPr>
            <w:tcW w:w="1559" w:type="dxa"/>
            <w:vAlign w:val="center"/>
          </w:tcPr>
          <w:p w14:paraId="6D565EE7">
            <w:pPr>
              <w:spacing w:line="360" w:lineRule="auto"/>
              <w:jc w:val="center"/>
              <w:rPr>
                <w:rFonts w:hint="eastAsia" w:ascii="仿宋" w:hAnsi="仿宋" w:eastAsia="仿宋" w:cs="仿宋"/>
                <w:color w:val="auto"/>
                <w:sz w:val="28"/>
                <w:szCs w:val="28"/>
                <w:highlight w:val="none"/>
              </w:rPr>
            </w:pPr>
          </w:p>
        </w:tc>
        <w:tc>
          <w:tcPr>
            <w:tcW w:w="1058" w:type="dxa"/>
            <w:vAlign w:val="center"/>
          </w:tcPr>
          <w:p w14:paraId="50900CC8">
            <w:pPr>
              <w:spacing w:line="360" w:lineRule="auto"/>
              <w:jc w:val="center"/>
              <w:rPr>
                <w:rFonts w:hint="eastAsia" w:ascii="仿宋" w:hAnsi="仿宋" w:eastAsia="仿宋" w:cs="仿宋"/>
                <w:color w:val="auto"/>
                <w:sz w:val="28"/>
                <w:szCs w:val="28"/>
                <w:highlight w:val="none"/>
              </w:rPr>
            </w:pPr>
          </w:p>
        </w:tc>
        <w:tc>
          <w:tcPr>
            <w:tcW w:w="1089" w:type="dxa"/>
            <w:vAlign w:val="center"/>
          </w:tcPr>
          <w:p w14:paraId="2BF0D2A2">
            <w:pPr>
              <w:spacing w:line="360" w:lineRule="auto"/>
              <w:jc w:val="center"/>
              <w:rPr>
                <w:rFonts w:hint="eastAsia" w:ascii="仿宋" w:hAnsi="仿宋" w:eastAsia="仿宋" w:cs="仿宋"/>
                <w:color w:val="auto"/>
                <w:sz w:val="28"/>
                <w:szCs w:val="28"/>
                <w:highlight w:val="none"/>
              </w:rPr>
            </w:pPr>
          </w:p>
        </w:tc>
        <w:tc>
          <w:tcPr>
            <w:tcW w:w="970" w:type="dxa"/>
            <w:vAlign w:val="center"/>
          </w:tcPr>
          <w:p w14:paraId="60F1386F">
            <w:pPr>
              <w:spacing w:line="360" w:lineRule="auto"/>
              <w:jc w:val="center"/>
              <w:rPr>
                <w:rFonts w:hint="eastAsia" w:ascii="仿宋" w:hAnsi="仿宋" w:eastAsia="仿宋" w:cs="仿宋"/>
                <w:color w:val="auto"/>
                <w:sz w:val="28"/>
                <w:szCs w:val="28"/>
                <w:highlight w:val="none"/>
              </w:rPr>
            </w:pPr>
          </w:p>
        </w:tc>
        <w:tc>
          <w:tcPr>
            <w:tcW w:w="930" w:type="dxa"/>
            <w:vAlign w:val="center"/>
          </w:tcPr>
          <w:p w14:paraId="41E2D4BE">
            <w:pPr>
              <w:spacing w:line="360" w:lineRule="auto"/>
              <w:jc w:val="center"/>
              <w:rPr>
                <w:rFonts w:hint="eastAsia" w:ascii="仿宋" w:hAnsi="仿宋" w:eastAsia="仿宋" w:cs="仿宋"/>
                <w:color w:val="auto"/>
                <w:sz w:val="28"/>
                <w:szCs w:val="28"/>
                <w:highlight w:val="none"/>
              </w:rPr>
            </w:pPr>
          </w:p>
        </w:tc>
        <w:tc>
          <w:tcPr>
            <w:tcW w:w="1038" w:type="dxa"/>
            <w:vAlign w:val="center"/>
          </w:tcPr>
          <w:p w14:paraId="7BC3C96C">
            <w:pPr>
              <w:spacing w:line="360" w:lineRule="auto"/>
              <w:jc w:val="center"/>
              <w:rPr>
                <w:rFonts w:hint="eastAsia" w:ascii="仿宋" w:hAnsi="仿宋" w:eastAsia="仿宋" w:cs="仿宋"/>
                <w:color w:val="auto"/>
                <w:sz w:val="28"/>
                <w:szCs w:val="28"/>
                <w:highlight w:val="none"/>
              </w:rPr>
            </w:pPr>
          </w:p>
        </w:tc>
        <w:tc>
          <w:tcPr>
            <w:tcW w:w="1341" w:type="dxa"/>
            <w:vAlign w:val="center"/>
          </w:tcPr>
          <w:p w14:paraId="39E6C2BD">
            <w:pPr>
              <w:spacing w:line="360" w:lineRule="auto"/>
              <w:jc w:val="center"/>
              <w:rPr>
                <w:rFonts w:hint="eastAsia" w:ascii="仿宋" w:hAnsi="仿宋" w:eastAsia="仿宋" w:cs="仿宋"/>
                <w:color w:val="auto"/>
                <w:sz w:val="28"/>
                <w:szCs w:val="28"/>
                <w:highlight w:val="none"/>
              </w:rPr>
            </w:pPr>
          </w:p>
        </w:tc>
      </w:tr>
      <w:tr w14:paraId="425B42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22" w:type="dxa"/>
            <w:vAlign w:val="center"/>
          </w:tcPr>
          <w:p w14:paraId="05C71656">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w:t>
            </w:r>
          </w:p>
        </w:tc>
        <w:tc>
          <w:tcPr>
            <w:tcW w:w="1559" w:type="dxa"/>
            <w:vAlign w:val="center"/>
          </w:tcPr>
          <w:p w14:paraId="2A185EB2">
            <w:pPr>
              <w:spacing w:line="360" w:lineRule="auto"/>
              <w:jc w:val="center"/>
              <w:rPr>
                <w:rFonts w:hint="eastAsia" w:ascii="仿宋" w:hAnsi="仿宋" w:eastAsia="仿宋" w:cs="仿宋"/>
                <w:color w:val="auto"/>
                <w:sz w:val="28"/>
                <w:szCs w:val="28"/>
                <w:highlight w:val="none"/>
              </w:rPr>
            </w:pPr>
          </w:p>
        </w:tc>
        <w:tc>
          <w:tcPr>
            <w:tcW w:w="1058" w:type="dxa"/>
            <w:vAlign w:val="center"/>
          </w:tcPr>
          <w:p w14:paraId="03CB8DFE">
            <w:pPr>
              <w:spacing w:line="360" w:lineRule="auto"/>
              <w:jc w:val="center"/>
              <w:rPr>
                <w:rFonts w:hint="eastAsia" w:ascii="仿宋" w:hAnsi="仿宋" w:eastAsia="仿宋" w:cs="仿宋"/>
                <w:color w:val="auto"/>
                <w:sz w:val="28"/>
                <w:szCs w:val="28"/>
                <w:highlight w:val="none"/>
              </w:rPr>
            </w:pPr>
          </w:p>
        </w:tc>
        <w:tc>
          <w:tcPr>
            <w:tcW w:w="1089" w:type="dxa"/>
            <w:vAlign w:val="center"/>
          </w:tcPr>
          <w:p w14:paraId="20C812CD">
            <w:pPr>
              <w:spacing w:line="360" w:lineRule="auto"/>
              <w:jc w:val="center"/>
              <w:rPr>
                <w:rFonts w:hint="eastAsia" w:ascii="仿宋" w:hAnsi="仿宋" w:eastAsia="仿宋" w:cs="仿宋"/>
                <w:color w:val="auto"/>
                <w:sz w:val="28"/>
                <w:szCs w:val="28"/>
                <w:highlight w:val="none"/>
              </w:rPr>
            </w:pPr>
          </w:p>
        </w:tc>
        <w:tc>
          <w:tcPr>
            <w:tcW w:w="970" w:type="dxa"/>
            <w:vAlign w:val="center"/>
          </w:tcPr>
          <w:p w14:paraId="1EAC72C2">
            <w:pPr>
              <w:spacing w:line="360" w:lineRule="auto"/>
              <w:jc w:val="center"/>
              <w:rPr>
                <w:rFonts w:hint="eastAsia" w:ascii="仿宋" w:hAnsi="仿宋" w:eastAsia="仿宋" w:cs="仿宋"/>
                <w:color w:val="auto"/>
                <w:sz w:val="28"/>
                <w:szCs w:val="28"/>
                <w:highlight w:val="none"/>
              </w:rPr>
            </w:pPr>
          </w:p>
        </w:tc>
        <w:tc>
          <w:tcPr>
            <w:tcW w:w="930" w:type="dxa"/>
            <w:vAlign w:val="center"/>
          </w:tcPr>
          <w:p w14:paraId="1B4A3C5E">
            <w:pPr>
              <w:spacing w:line="360" w:lineRule="auto"/>
              <w:jc w:val="center"/>
              <w:rPr>
                <w:rFonts w:hint="eastAsia" w:ascii="仿宋" w:hAnsi="仿宋" w:eastAsia="仿宋" w:cs="仿宋"/>
                <w:color w:val="auto"/>
                <w:sz w:val="28"/>
                <w:szCs w:val="28"/>
                <w:highlight w:val="none"/>
              </w:rPr>
            </w:pPr>
          </w:p>
        </w:tc>
        <w:tc>
          <w:tcPr>
            <w:tcW w:w="1038" w:type="dxa"/>
            <w:vAlign w:val="center"/>
          </w:tcPr>
          <w:p w14:paraId="5AD0B612">
            <w:pPr>
              <w:spacing w:line="360" w:lineRule="auto"/>
              <w:jc w:val="center"/>
              <w:rPr>
                <w:rFonts w:hint="eastAsia" w:ascii="仿宋" w:hAnsi="仿宋" w:eastAsia="仿宋" w:cs="仿宋"/>
                <w:color w:val="auto"/>
                <w:sz w:val="28"/>
                <w:szCs w:val="28"/>
                <w:highlight w:val="none"/>
              </w:rPr>
            </w:pPr>
          </w:p>
        </w:tc>
        <w:tc>
          <w:tcPr>
            <w:tcW w:w="1341" w:type="dxa"/>
            <w:vAlign w:val="center"/>
          </w:tcPr>
          <w:p w14:paraId="77E0A0D5">
            <w:pPr>
              <w:spacing w:line="360" w:lineRule="auto"/>
              <w:jc w:val="center"/>
              <w:rPr>
                <w:rFonts w:hint="eastAsia" w:ascii="仿宋" w:hAnsi="仿宋" w:eastAsia="仿宋" w:cs="仿宋"/>
                <w:color w:val="auto"/>
                <w:sz w:val="28"/>
                <w:szCs w:val="28"/>
                <w:highlight w:val="none"/>
              </w:rPr>
            </w:pPr>
          </w:p>
        </w:tc>
      </w:tr>
      <w:tr w14:paraId="71C444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22" w:type="dxa"/>
            <w:vAlign w:val="center"/>
          </w:tcPr>
          <w:p w14:paraId="58D34091">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w:t>
            </w:r>
          </w:p>
        </w:tc>
        <w:tc>
          <w:tcPr>
            <w:tcW w:w="1559" w:type="dxa"/>
            <w:vAlign w:val="center"/>
          </w:tcPr>
          <w:p w14:paraId="6D7BAB91">
            <w:pPr>
              <w:spacing w:line="360" w:lineRule="auto"/>
              <w:jc w:val="center"/>
              <w:rPr>
                <w:rFonts w:hint="eastAsia" w:ascii="仿宋" w:hAnsi="仿宋" w:eastAsia="仿宋" w:cs="仿宋"/>
                <w:color w:val="auto"/>
                <w:sz w:val="28"/>
                <w:szCs w:val="28"/>
                <w:highlight w:val="none"/>
              </w:rPr>
            </w:pPr>
          </w:p>
        </w:tc>
        <w:tc>
          <w:tcPr>
            <w:tcW w:w="1058" w:type="dxa"/>
            <w:vAlign w:val="center"/>
          </w:tcPr>
          <w:p w14:paraId="6871DCAF">
            <w:pPr>
              <w:spacing w:line="360" w:lineRule="auto"/>
              <w:jc w:val="center"/>
              <w:rPr>
                <w:rFonts w:hint="eastAsia" w:ascii="仿宋" w:hAnsi="仿宋" w:eastAsia="仿宋" w:cs="仿宋"/>
                <w:color w:val="auto"/>
                <w:sz w:val="28"/>
                <w:szCs w:val="28"/>
                <w:highlight w:val="none"/>
              </w:rPr>
            </w:pPr>
          </w:p>
        </w:tc>
        <w:tc>
          <w:tcPr>
            <w:tcW w:w="1089" w:type="dxa"/>
            <w:vAlign w:val="center"/>
          </w:tcPr>
          <w:p w14:paraId="49C5643C">
            <w:pPr>
              <w:spacing w:line="360" w:lineRule="auto"/>
              <w:jc w:val="center"/>
              <w:rPr>
                <w:rFonts w:hint="eastAsia" w:ascii="仿宋" w:hAnsi="仿宋" w:eastAsia="仿宋" w:cs="仿宋"/>
                <w:color w:val="auto"/>
                <w:sz w:val="28"/>
                <w:szCs w:val="28"/>
                <w:highlight w:val="none"/>
              </w:rPr>
            </w:pPr>
          </w:p>
        </w:tc>
        <w:tc>
          <w:tcPr>
            <w:tcW w:w="970" w:type="dxa"/>
            <w:vAlign w:val="center"/>
          </w:tcPr>
          <w:p w14:paraId="203DBCA5">
            <w:pPr>
              <w:spacing w:line="360" w:lineRule="auto"/>
              <w:jc w:val="center"/>
              <w:rPr>
                <w:rFonts w:hint="eastAsia" w:ascii="仿宋" w:hAnsi="仿宋" w:eastAsia="仿宋" w:cs="仿宋"/>
                <w:color w:val="auto"/>
                <w:sz w:val="28"/>
                <w:szCs w:val="28"/>
                <w:highlight w:val="none"/>
              </w:rPr>
            </w:pPr>
          </w:p>
        </w:tc>
        <w:tc>
          <w:tcPr>
            <w:tcW w:w="930" w:type="dxa"/>
            <w:vAlign w:val="center"/>
          </w:tcPr>
          <w:p w14:paraId="3019422A">
            <w:pPr>
              <w:spacing w:line="360" w:lineRule="auto"/>
              <w:jc w:val="center"/>
              <w:rPr>
                <w:rFonts w:hint="eastAsia" w:ascii="仿宋" w:hAnsi="仿宋" w:eastAsia="仿宋" w:cs="仿宋"/>
                <w:color w:val="auto"/>
                <w:sz w:val="28"/>
                <w:szCs w:val="28"/>
                <w:highlight w:val="none"/>
              </w:rPr>
            </w:pPr>
          </w:p>
        </w:tc>
        <w:tc>
          <w:tcPr>
            <w:tcW w:w="1038" w:type="dxa"/>
            <w:vAlign w:val="center"/>
          </w:tcPr>
          <w:p w14:paraId="28BE4673">
            <w:pPr>
              <w:spacing w:line="360" w:lineRule="auto"/>
              <w:jc w:val="center"/>
              <w:rPr>
                <w:rFonts w:hint="eastAsia" w:ascii="仿宋" w:hAnsi="仿宋" w:eastAsia="仿宋" w:cs="仿宋"/>
                <w:color w:val="auto"/>
                <w:sz w:val="28"/>
                <w:szCs w:val="28"/>
                <w:highlight w:val="none"/>
              </w:rPr>
            </w:pPr>
          </w:p>
        </w:tc>
        <w:tc>
          <w:tcPr>
            <w:tcW w:w="1341" w:type="dxa"/>
            <w:vAlign w:val="center"/>
          </w:tcPr>
          <w:p w14:paraId="31BAB3E9">
            <w:pPr>
              <w:spacing w:line="360" w:lineRule="auto"/>
              <w:jc w:val="center"/>
              <w:rPr>
                <w:rFonts w:hint="eastAsia" w:ascii="仿宋" w:hAnsi="仿宋" w:eastAsia="仿宋" w:cs="仿宋"/>
                <w:color w:val="auto"/>
                <w:sz w:val="28"/>
                <w:szCs w:val="28"/>
                <w:highlight w:val="none"/>
              </w:rPr>
            </w:pPr>
          </w:p>
        </w:tc>
      </w:tr>
    </w:tbl>
    <w:p w14:paraId="2264F378">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注：1.制造商为小型或微型企业时才需要填“制造商企业类型”栏</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填写内容为“小型”或“微型”；</w:t>
      </w:r>
    </w:p>
    <w:p w14:paraId="0473A543">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2.“节能产品、环境标志产品”须填写认证证书编号，并在对应“节能产品”、“环境标志产品”栏中勾选，同时提供有效期内的证书复印件（加盖投标人公章）</w:t>
      </w:r>
    </w:p>
    <w:p w14:paraId="6AC3DB37">
      <w:pPr>
        <w:pStyle w:val="19"/>
        <w:spacing w:line="360" w:lineRule="auto"/>
        <w:ind w:firstLine="0" w:firstLineChars="0"/>
        <w:rPr>
          <w:rFonts w:hint="eastAsia" w:ascii="仿宋" w:hAnsi="仿宋" w:eastAsia="仿宋" w:cs="仿宋"/>
          <w:color w:val="auto"/>
          <w:sz w:val="28"/>
          <w:szCs w:val="28"/>
          <w:highlight w:val="none"/>
        </w:rPr>
      </w:pPr>
    </w:p>
    <w:p w14:paraId="2106D44B">
      <w:pPr>
        <w:pStyle w:val="19"/>
        <w:spacing w:line="360" w:lineRule="auto"/>
        <w:ind w:firstLine="0" w:firstLineChars="0"/>
        <w:rPr>
          <w:rFonts w:hint="eastAsia" w:ascii="仿宋" w:hAnsi="仿宋" w:eastAsia="仿宋" w:cs="仿宋"/>
          <w:color w:val="auto"/>
          <w:sz w:val="28"/>
          <w:szCs w:val="28"/>
          <w:highlight w:val="none"/>
        </w:rPr>
      </w:pPr>
    </w:p>
    <w:p w14:paraId="74E880C7">
      <w:pPr>
        <w:pStyle w:val="19"/>
        <w:spacing w:line="360" w:lineRule="auto"/>
        <w:ind w:firstLine="0" w:firstLineChars="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投标人名称（加盖公章）：</w:t>
      </w:r>
    </w:p>
    <w:p w14:paraId="4C860A5C">
      <w:pPr>
        <w:pStyle w:val="19"/>
        <w:spacing w:line="360" w:lineRule="auto"/>
        <w:ind w:firstLine="0" w:firstLineChars="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投标人法定代表人或受委托人（签名或盖私章）：</w:t>
      </w:r>
    </w:p>
    <w:p w14:paraId="5A70275C">
      <w:pPr>
        <w:pStyle w:val="19"/>
        <w:spacing w:line="360" w:lineRule="auto"/>
        <w:ind w:firstLine="0" w:firstLineChars="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日       期：</w:t>
      </w:r>
      <w:r>
        <w:rPr>
          <w:rFonts w:hint="eastAsia" w:ascii="仿宋" w:hAnsi="仿宋" w:eastAsia="仿宋" w:cs="仿宋"/>
          <w:color w:val="auto"/>
          <w:sz w:val="28"/>
          <w:szCs w:val="28"/>
          <w:highlight w:val="none"/>
        </w:rPr>
        <w:br w:type="page"/>
      </w:r>
    </w:p>
    <w:p w14:paraId="3D11A771">
      <w:pPr>
        <w:pStyle w:val="3"/>
        <w:numPr>
          <w:ilvl w:val="0"/>
          <w:numId w:val="0"/>
        </w:numPr>
        <w:bidi w:val="0"/>
        <w:ind w:leftChars="0"/>
        <w:jc w:val="both"/>
        <w:rPr>
          <w:rFonts w:hint="eastAsia" w:ascii="仿宋" w:hAnsi="仿宋" w:eastAsia="仿宋" w:cs="仿宋"/>
          <w:color w:val="auto"/>
          <w:sz w:val="28"/>
          <w:szCs w:val="28"/>
          <w:highlight w:val="none"/>
        </w:rPr>
      </w:pPr>
      <w:bookmarkStart w:id="24" w:name="_Toc1302"/>
      <w:r>
        <w:rPr>
          <w:rFonts w:hint="eastAsia" w:ascii="仿宋" w:hAnsi="仿宋" w:eastAsia="仿宋" w:cs="仿宋"/>
          <w:color w:val="auto"/>
          <w:sz w:val="28"/>
          <w:szCs w:val="28"/>
          <w:highlight w:val="none"/>
        </w:rPr>
        <w:t>二、商务技术文件格式</w:t>
      </w:r>
      <w:bookmarkEnd w:id="24"/>
    </w:p>
    <w:p w14:paraId="43FB08F4">
      <w:pPr>
        <w:pStyle w:val="6"/>
        <w:rPr>
          <w:rFonts w:hint="eastAsia" w:ascii="仿宋" w:hAnsi="仿宋" w:eastAsia="仿宋" w:cs="仿宋"/>
          <w:color w:val="auto"/>
          <w:sz w:val="28"/>
          <w:szCs w:val="28"/>
          <w:highlight w:val="none"/>
        </w:rPr>
      </w:pPr>
    </w:p>
    <w:p w14:paraId="76383638">
      <w:pPr>
        <w:pStyle w:val="6"/>
        <w:ind w:right="450"/>
        <w:jc w:val="right"/>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正本/副本</w:t>
      </w:r>
    </w:p>
    <w:p w14:paraId="69F1F234">
      <w:pPr>
        <w:pStyle w:val="6"/>
        <w:ind w:right="450"/>
        <w:jc w:val="right"/>
        <w:rPr>
          <w:rFonts w:hint="eastAsia" w:ascii="仿宋" w:hAnsi="仿宋" w:eastAsia="仿宋" w:cs="仿宋"/>
          <w:b/>
          <w:color w:val="auto"/>
          <w:sz w:val="28"/>
          <w:szCs w:val="28"/>
          <w:highlight w:val="none"/>
        </w:rPr>
      </w:pPr>
    </w:p>
    <w:p w14:paraId="2C853E22">
      <w:pPr>
        <w:spacing w:line="600" w:lineRule="atLeast"/>
        <w:jc w:val="center"/>
        <w:rPr>
          <w:rFonts w:hint="eastAsia" w:ascii="宋体" w:hAnsi="宋体" w:cs="宋体"/>
          <w:b/>
          <w:color w:val="auto"/>
          <w:sz w:val="72"/>
          <w:szCs w:val="72"/>
          <w:highlight w:val="none"/>
          <w:lang w:eastAsia="zh-CN"/>
        </w:rPr>
      </w:pPr>
      <w:r>
        <w:rPr>
          <w:rFonts w:hint="eastAsia" w:ascii="宋体" w:hAnsi="宋体" w:cs="宋体"/>
          <w:b/>
          <w:color w:val="auto"/>
          <w:sz w:val="72"/>
          <w:szCs w:val="72"/>
          <w:highlight w:val="none"/>
          <w:lang w:eastAsia="zh-CN"/>
        </w:rPr>
        <w:t>东莞市常平镇中心小学食堂食材采购项目</w:t>
      </w:r>
    </w:p>
    <w:p w14:paraId="0389B01A">
      <w:pPr>
        <w:spacing w:line="600" w:lineRule="atLeast"/>
        <w:jc w:val="center"/>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（采购编号：              ）</w:t>
      </w:r>
    </w:p>
    <w:p w14:paraId="11787A49">
      <w:pPr>
        <w:spacing w:line="600" w:lineRule="atLeast"/>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（采购包号：              ）</w:t>
      </w:r>
    </w:p>
    <w:p w14:paraId="413884CD">
      <w:pPr>
        <w:spacing w:line="600" w:lineRule="exact"/>
        <w:jc w:val="center"/>
        <w:rPr>
          <w:rFonts w:hint="eastAsia" w:ascii="仿宋" w:hAnsi="仿宋" w:eastAsia="仿宋" w:cs="仿宋"/>
          <w:b/>
          <w:color w:val="auto"/>
          <w:sz w:val="28"/>
          <w:szCs w:val="28"/>
          <w:highlight w:val="none"/>
        </w:rPr>
      </w:pPr>
    </w:p>
    <w:p w14:paraId="22772D16">
      <w:pPr>
        <w:spacing w:line="600" w:lineRule="exact"/>
        <w:jc w:val="center"/>
        <w:rPr>
          <w:rFonts w:hint="eastAsia" w:ascii="仿宋" w:hAnsi="仿宋" w:eastAsia="仿宋" w:cs="仿宋"/>
          <w:b/>
          <w:color w:val="auto"/>
          <w:sz w:val="28"/>
          <w:szCs w:val="28"/>
          <w:highlight w:val="none"/>
        </w:rPr>
      </w:pPr>
    </w:p>
    <w:p w14:paraId="4EA4A970">
      <w:pPr>
        <w:spacing w:line="600" w:lineRule="atLeast"/>
        <w:jc w:val="center"/>
        <w:rPr>
          <w:rFonts w:hint="eastAsia" w:ascii="宋体" w:hAnsi="宋体" w:cs="宋体"/>
          <w:b/>
          <w:color w:val="auto"/>
          <w:sz w:val="72"/>
          <w:szCs w:val="72"/>
          <w:highlight w:val="none"/>
          <w:lang w:eastAsia="zh-CN"/>
        </w:rPr>
      </w:pPr>
      <w:r>
        <w:rPr>
          <w:rFonts w:hint="eastAsia" w:ascii="宋体" w:hAnsi="宋体" w:cs="宋体"/>
          <w:b/>
          <w:color w:val="auto"/>
          <w:sz w:val="72"/>
          <w:szCs w:val="72"/>
          <w:highlight w:val="none"/>
          <w:lang w:eastAsia="zh-CN"/>
        </w:rPr>
        <w:t>投标文件</w:t>
      </w:r>
    </w:p>
    <w:p w14:paraId="6B69F74D">
      <w:pPr>
        <w:snapToGrid w:val="0"/>
        <w:spacing w:line="600" w:lineRule="exact"/>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（封面格式仅供参考）</w:t>
      </w:r>
    </w:p>
    <w:p w14:paraId="113D500B">
      <w:pPr>
        <w:snapToGrid w:val="0"/>
        <w:spacing w:line="600" w:lineRule="exact"/>
        <w:rPr>
          <w:rFonts w:hint="eastAsia" w:ascii="仿宋" w:hAnsi="仿宋" w:eastAsia="仿宋" w:cs="仿宋"/>
          <w:b/>
          <w:color w:val="auto"/>
          <w:sz w:val="28"/>
          <w:szCs w:val="28"/>
          <w:highlight w:val="none"/>
        </w:rPr>
      </w:pPr>
    </w:p>
    <w:p w14:paraId="4092ACE7">
      <w:pPr>
        <w:tabs>
          <w:tab w:val="left" w:pos="3261"/>
        </w:tabs>
        <w:snapToGrid w:val="0"/>
        <w:spacing w:line="480" w:lineRule="atLeast"/>
        <w:ind w:left="-2" w:leftChars="-1" w:firstLine="613" w:firstLineChars="21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投标人名称：</w:t>
      </w:r>
    </w:p>
    <w:p w14:paraId="2BB64AD2">
      <w:pPr>
        <w:snapToGrid w:val="0"/>
        <w:spacing w:line="480" w:lineRule="atLeast"/>
        <w:ind w:firstLine="613" w:firstLineChars="21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投标人地址：</w:t>
      </w:r>
    </w:p>
    <w:p w14:paraId="0BA5807E">
      <w:pPr>
        <w:snapToGrid w:val="0"/>
        <w:spacing w:line="480" w:lineRule="atLeast"/>
        <w:ind w:firstLine="613" w:firstLineChars="21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联 系 人：</w:t>
      </w:r>
    </w:p>
    <w:p w14:paraId="194E8521">
      <w:pPr>
        <w:snapToGrid w:val="0"/>
        <w:spacing w:line="480" w:lineRule="atLeast"/>
        <w:ind w:firstLine="613" w:firstLineChars="21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联系电话：</w:t>
      </w:r>
    </w:p>
    <w:p w14:paraId="677EE8FB">
      <w:pPr>
        <w:snapToGrid w:val="0"/>
        <w:spacing w:line="480" w:lineRule="atLeast"/>
        <w:ind w:firstLine="613" w:firstLineChars="21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传    真：</w:t>
      </w:r>
    </w:p>
    <w:p w14:paraId="77483AE8">
      <w:pPr>
        <w:snapToGrid w:val="0"/>
        <w:spacing w:line="480" w:lineRule="atLeast"/>
        <w:ind w:firstLine="613" w:firstLineChars="219"/>
        <w:rPr>
          <w:rFonts w:hint="eastAsia" w:ascii="仿宋" w:hAnsi="仿宋" w:eastAsia="仿宋" w:cs="仿宋"/>
          <w:color w:val="auto"/>
          <w:sz w:val="28"/>
          <w:szCs w:val="28"/>
          <w:highlight w:val="none"/>
        </w:rPr>
      </w:pPr>
    </w:p>
    <w:p w14:paraId="7A5FD41B">
      <w:pPr>
        <w:spacing w:line="600" w:lineRule="exact"/>
        <w:ind w:firstLine="2367" w:firstLineChars="842"/>
        <w:rPr>
          <w:rFonts w:hint="eastAsia" w:ascii="仿宋" w:hAnsi="仿宋" w:eastAsia="仿宋" w:cs="仿宋"/>
          <w:b/>
          <w:bCs/>
          <w:color w:val="auto"/>
          <w:spacing w:val="26"/>
          <w:sz w:val="28"/>
          <w:szCs w:val="28"/>
          <w:highlight w:val="none"/>
        </w:rPr>
      </w:pPr>
      <w:r>
        <w:rPr>
          <w:rFonts w:hint="eastAsia" w:ascii="仿宋" w:hAnsi="仿宋" w:eastAsia="仿宋" w:cs="仿宋"/>
          <w:b/>
          <w:color w:val="auto"/>
          <w:sz w:val="28"/>
          <w:szCs w:val="28"/>
          <w:highlight w:val="none"/>
        </w:rPr>
        <w:t xml:space="preserve">日    期： </w:t>
      </w:r>
      <w:r>
        <w:rPr>
          <w:rFonts w:hint="eastAsia" w:ascii="仿宋" w:hAnsi="仿宋" w:eastAsia="仿宋" w:cs="仿宋"/>
          <w:b/>
          <w:color w:val="auto"/>
          <w:sz w:val="28"/>
          <w:szCs w:val="28"/>
          <w:highlight w:val="none"/>
          <w:lang w:eastAsia="zh-CN"/>
        </w:rPr>
        <w:t>二〇二五</w:t>
      </w:r>
      <w:r>
        <w:rPr>
          <w:rFonts w:hint="eastAsia" w:ascii="仿宋" w:hAnsi="仿宋" w:eastAsia="仿宋" w:cs="仿宋"/>
          <w:b/>
          <w:color w:val="auto"/>
          <w:sz w:val="28"/>
          <w:szCs w:val="28"/>
          <w:highlight w:val="none"/>
        </w:rPr>
        <w:t>年   月</w:t>
      </w:r>
    </w:p>
    <w:p w14:paraId="0A79CADA">
      <w:pPr>
        <w:pStyle w:val="22"/>
        <w:spacing w:line="420" w:lineRule="exact"/>
        <w:ind w:firstLine="0" w:firstLineChars="0"/>
        <w:rPr>
          <w:rFonts w:hint="eastAsia" w:ascii="仿宋" w:hAnsi="仿宋" w:eastAsia="仿宋" w:cs="仿宋"/>
          <w:b/>
          <w:color w:val="auto"/>
          <w:sz w:val="28"/>
          <w:szCs w:val="28"/>
          <w:highlight w:val="none"/>
        </w:rPr>
        <w:sectPr>
          <w:headerReference r:id="rId5" w:type="default"/>
          <w:footerReference r:id="rId6" w:type="default"/>
          <w:pgSz w:w="11907" w:h="16840"/>
          <w:pgMar w:top="1559" w:right="1531" w:bottom="1712" w:left="1531" w:header="1089" w:footer="725" w:gutter="0"/>
          <w:pgNumType w:fmt="decimal"/>
          <w:cols w:space="720" w:num="1"/>
          <w:docGrid w:linePitch="523" w:charSpace="0"/>
        </w:sectPr>
      </w:pPr>
    </w:p>
    <w:p w14:paraId="79D4583B">
      <w:pPr>
        <w:pStyle w:val="22"/>
        <w:spacing w:line="400" w:lineRule="exact"/>
        <w:ind w:firstLine="0" w:firstLineChars="0"/>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索引表</w:t>
      </w:r>
    </w:p>
    <w:p w14:paraId="2B81F6DA">
      <w:pPr>
        <w:pStyle w:val="22"/>
        <w:spacing w:line="400" w:lineRule="exact"/>
        <w:ind w:firstLine="0" w:firstLineChars="0"/>
        <w:outlineLvl w:val="1"/>
        <w:rPr>
          <w:rFonts w:hint="eastAsia" w:ascii="仿宋" w:hAnsi="仿宋" w:eastAsia="仿宋" w:cs="仿宋"/>
          <w:b/>
          <w:color w:val="auto"/>
          <w:sz w:val="28"/>
          <w:szCs w:val="28"/>
          <w:highlight w:val="none"/>
        </w:rPr>
      </w:pPr>
      <w:bookmarkStart w:id="25" w:name="_Toc22862"/>
      <w:bookmarkStart w:id="26" w:name="_Toc23701"/>
      <w:bookmarkStart w:id="27" w:name="_Toc20797"/>
      <w:r>
        <w:rPr>
          <w:rFonts w:hint="eastAsia" w:ascii="仿宋" w:hAnsi="仿宋" w:eastAsia="仿宋" w:cs="仿宋"/>
          <w:b/>
          <w:color w:val="auto"/>
          <w:sz w:val="28"/>
          <w:szCs w:val="28"/>
          <w:highlight w:val="none"/>
        </w:rPr>
        <w:t>1、资格性审查索引表</w:t>
      </w:r>
      <w:bookmarkEnd w:id="25"/>
      <w:bookmarkEnd w:id="26"/>
      <w:bookmarkEnd w:id="27"/>
    </w:p>
    <w:p w14:paraId="033A8CF0">
      <w:pPr>
        <w:spacing w:line="420" w:lineRule="exact"/>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资格性审查索引表</w:t>
      </w:r>
    </w:p>
    <w:p w14:paraId="2C914574">
      <w:pPr>
        <w:spacing w:line="420" w:lineRule="exact"/>
        <w:jc w:val="center"/>
        <w:rPr>
          <w:rFonts w:hint="eastAsia" w:ascii="仿宋" w:hAnsi="仿宋" w:eastAsia="仿宋" w:cs="仿宋"/>
          <w:color w:val="auto"/>
          <w:sz w:val="28"/>
          <w:szCs w:val="28"/>
          <w:highlight w:val="none"/>
        </w:rPr>
      </w:pPr>
    </w:p>
    <w:tbl>
      <w:tblPr>
        <w:tblStyle w:val="12"/>
        <w:tblW w:w="500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948"/>
        <w:gridCol w:w="5203"/>
        <w:gridCol w:w="2711"/>
      </w:tblGrid>
      <w:tr w14:paraId="15F0FE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4" w:hRule="atLeast"/>
        </w:trPr>
        <w:tc>
          <w:tcPr>
            <w:tcW w:w="535" w:type="pct"/>
            <w:noWrap w:val="0"/>
            <w:vAlign w:val="center"/>
          </w:tcPr>
          <w:p w14:paraId="77F26D86">
            <w:pPr>
              <w:spacing w:line="42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序号</w:t>
            </w:r>
          </w:p>
        </w:tc>
        <w:tc>
          <w:tcPr>
            <w:tcW w:w="2935" w:type="pct"/>
            <w:noWrap w:val="0"/>
            <w:vAlign w:val="center"/>
          </w:tcPr>
          <w:p w14:paraId="48DD68AE">
            <w:pPr>
              <w:spacing w:line="42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招标文件要求</w:t>
            </w:r>
          </w:p>
        </w:tc>
        <w:tc>
          <w:tcPr>
            <w:tcW w:w="1529" w:type="pct"/>
            <w:noWrap w:val="0"/>
            <w:vAlign w:val="center"/>
          </w:tcPr>
          <w:p w14:paraId="4DB93BE2">
            <w:pPr>
              <w:spacing w:line="42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证明资料</w:t>
            </w:r>
          </w:p>
        </w:tc>
      </w:tr>
      <w:tr w14:paraId="240E99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4" w:hRule="atLeast"/>
        </w:trPr>
        <w:tc>
          <w:tcPr>
            <w:tcW w:w="535" w:type="pct"/>
            <w:noWrap w:val="0"/>
            <w:vAlign w:val="center"/>
          </w:tcPr>
          <w:p w14:paraId="326F019F">
            <w:pPr>
              <w:spacing w:line="42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p>
        </w:tc>
        <w:tc>
          <w:tcPr>
            <w:tcW w:w="2935" w:type="pct"/>
            <w:noWrap w:val="0"/>
            <w:vAlign w:val="center"/>
          </w:tcPr>
          <w:p w14:paraId="109BE47A">
            <w:pPr>
              <w:pStyle w:val="22"/>
              <w:spacing w:line="360" w:lineRule="auto"/>
              <w:ind w:left="0" w:leftChars="0" w:firstLine="0" w:firstLineChars="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具有独立承担民事责任的能力：在中华人民共和国境内注册的法人或其他组织或自然人，投标（响应）时提交有效的营业执照（或事业法人登记证或身份证等相关证明）副本复印件。</w:t>
            </w:r>
          </w:p>
        </w:tc>
        <w:tc>
          <w:tcPr>
            <w:tcW w:w="1529" w:type="pct"/>
            <w:noWrap w:val="0"/>
            <w:vAlign w:val="center"/>
          </w:tcPr>
          <w:p w14:paraId="38C1AE09">
            <w:pPr>
              <w:spacing w:line="420" w:lineRule="exact"/>
              <w:ind w:left="178" w:leftChars="85"/>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请见投标文件第（）页</w:t>
            </w:r>
          </w:p>
        </w:tc>
      </w:tr>
      <w:tr w14:paraId="7372D1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4" w:hRule="atLeast"/>
        </w:trPr>
        <w:tc>
          <w:tcPr>
            <w:tcW w:w="535" w:type="pct"/>
            <w:noWrap w:val="0"/>
            <w:vAlign w:val="center"/>
          </w:tcPr>
          <w:p w14:paraId="6873EF2F">
            <w:pPr>
              <w:spacing w:line="42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w:t>
            </w:r>
          </w:p>
        </w:tc>
        <w:tc>
          <w:tcPr>
            <w:tcW w:w="2935" w:type="pct"/>
            <w:noWrap w:val="0"/>
            <w:vAlign w:val="center"/>
          </w:tcPr>
          <w:p w14:paraId="1C99CB7C">
            <w:pPr>
              <w:spacing w:line="420" w:lineRule="exact"/>
              <w:ind w:right="178" w:rightChars="85"/>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有依法缴纳税收和社会保障资金的良好记录：提供《资格声明函》，格式参考附件23。</w:t>
            </w:r>
          </w:p>
        </w:tc>
        <w:tc>
          <w:tcPr>
            <w:tcW w:w="1529" w:type="pct"/>
            <w:noWrap w:val="0"/>
            <w:vAlign w:val="center"/>
          </w:tcPr>
          <w:p w14:paraId="3BA5CA1E">
            <w:pPr>
              <w:spacing w:line="420" w:lineRule="exact"/>
              <w:ind w:left="178" w:leftChars="85"/>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请见投标文件第（）页</w:t>
            </w:r>
          </w:p>
        </w:tc>
      </w:tr>
      <w:tr w14:paraId="452B5F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4" w:hRule="atLeast"/>
        </w:trPr>
        <w:tc>
          <w:tcPr>
            <w:tcW w:w="535" w:type="pct"/>
            <w:noWrap w:val="0"/>
            <w:vAlign w:val="center"/>
          </w:tcPr>
          <w:p w14:paraId="5CA81927">
            <w:pPr>
              <w:spacing w:line="42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w:t>
            </w:r>
          </w:p>
        </w:tc>
        <w:tc>
          <w:tcPr>
            <w:tcW w:w="2935" w:type="pct"/>
            <w:noWrap w:val="0"/>
            <w:vAlign w:val="center"/>
          </w:tcPr>
          <w:p w14:paraId="34EAAB64">
            <w:pPr>
              <w:pStyle w:val="22"/>
              <w:spacing w:line="360" w:lineRule="auto"/>
              <w:ind w:left="0" w:leftChars="0" w:firstLine="0" w:firstLineChars="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具有良好的商业信誉和健全的财务会计制度：提供《</w:t>
            </w:r>
            <w:r>
              <w:rPr>
                <w:rFonts w:hint="eastAsia" w:ascii="仿宋" w:hAnsi="仿宋" w:eastAsia="仿宋" w:cs="仿宋"/>
                <w:color w:val="auto"/>
                <w:kern w:val="2"/>
                <w:sz w:val="28"/>
                <w:szCs w:val="28"/>
                <w:highlight w:val="none"/>
                <w:lang w:val="en-US" w:eastAsia="zh-CN" w:bidi="ar-SA"/>
              </w:rPr>
              <w:t>资格声明函</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格式参考附件23。</w:t>
            </w:r>
          </w:p>
        </w:tc>
        <w:tc>
          <w:tcPr>
            <w:tcW w:w="1529" w:type="pct"/>
            <w:noWrap w:val="0"/>
            <w:vAlign w:val="center"/>
          </w:tcPr>
          <w:p w14:paraId="1A117CD3">
            <w:pPr>
              <w:spacing w:line="420" w:lineRule="exact"/>
              <w:ind w:left="178" w:leftChars="85"/>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请见投标文件第（）页</w:t>
            </w:r>
          </w:p>
        </w:tc>
      </w:tr>
      <w:tr w14:paraId="1E022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5" w:hRule="atLeast"/>
        </w:trPr>
        <w:tc>
          <w:tcPr>
            <w:tcW w:w="535" w:type="pct"/>
            <w:noWrap w:val="0"/>
            <w:vAlign w:val="center"/>
          </w:tcPr>
          <w:p w14:paraId="4930B6BF">
            <w:pPr>
              <w:spacing w:line="42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w:t>
            </w:r>
          </w:p>
        </w:tc>
        <w:tc>
          <w:tcPr>
            <w:tcW w:w="2935" w:type="pct"/>
            <w:noWrap w:val="0"/>
            <w:vAlign w:val="center"/>
          </w:tcPr>
          <w:p w14:paraId="1467C3AB">
            <w:pPr>
              <w:pStyle w:val="22"/>
              <w:spacing w:line="360" w:lineRule="auto"/>
              <w:ind w:left="0" w:leftChars="0" w:firstLine="0" w:firstLineChars="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履行合同所必需的设备和专业技术能力：提供《</w:t>
            </w:r>
            <w:r>
              <w:rPr>
                <w:rFonts w:hint="eastAsia" w:ascii="仿宋" w:hAnsi="仿宋" w:eastAsia="仿宋" w:cs="仿宋"/>
                <w:color w:val="auto"/>
                <w:kern w:val="2"/>
                <w:sz w:val="28"/>
                <w:szCs w:val="28"/>
                <w:highlight w:val="none"/>
                <w:lang w:val="en-US" w:eastAsia="zh-CN" w:bidi="ar-SA"/>
              </w:rPr>
              <w:t>资格声明函</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格式参考附件23。</w:t>
            </w:r>
          </w:p>
        </w:tc>
        <w:tc>
          <w:tcPr>
            <w:tcW w:w="1529" w:type="pct"/>
            <w:noWrap w:val="0"/>
            <w:vAlign w:val="center"/>
          </w:tcPr>
          <w:p w14:paraId="440E4264">
            <w:pPr>
              <w:spacing w:line="420" w:lineRule="exact"/>
              <w:ind w:left="178" w:leftChars="85"/>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请见投标文件第（）页</w:t>
            </w:r>
          </w:p>
        </w:tc>
      </w:tr>
      <w:tr w14:paraId="3ECCE0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5" w:hRule="atLeast"/>
        </w:trPr>
        <w:tc>
          <w:tcPr>
            <w:tcW w:w="535" w:type="pct"/>
            <w:noWrap w:val="0"/>
            <w:vAlign w:val="center"/>
          </w:tcPr>
          <w:p w14:paraId="0DE4293A">
            <w:pPr>
              <w:spacing w:line="42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w:t>
            </w:r>
          </w:p>
        </w:tc>
        <w:tc>
          <w:tcPr>
            <w:tcW w:w="2935" w:type="pct"/>
            <w:noWrap w:val="0"/>
            <w:vAlign w:val="center"/>
          </w:tcPr>
          <w:p w14:paraId="6E29BA02">
            <w:pPr>
              <w:pStyle w:val="22"/>
              <w:spacing w:line="360" w:lineRule="auto"/>
              <w:ind w:left="0" w:leftChars="0" w:firstLine="0" w:firstLineChars="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提供《</w:t>
            </w:r>
            <w:r>
              <w:rPr>
                <w:rFonts w:hint="eastAsia" w:ascii="仿宋" w:hAnsi="仿宋" w:eastAsia="仿宋" w:cs="仿宋"/>
                <w:color w:val="auto"/>
                <w:kern w:val="2"/>
                <w:sz w:val="28"/>
                <w:szCs w:val="28"/>
                <w:highlight w:val="none"/>
                <w:lang w:val="en-US" w:eastAsia="zh-CN" w:bidi="ar-SA"/>
              </w:rPr>
              <w:t>资格声明函</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格式参考附件23。</w:t>
            </w:r>
            <w:r>
              <w:rPr>
                <w:rFonts w:hint="eastAsia" w:ascii="仿宋" w:hAnsi="仿宋" w:eastAsia="仿宋" w:cs="仿宋"/>
                <w:color w:val="auto"/>
                <w:sz w:val="28"/>
                <w:szCs w:val="28"/>
                <w:highlight w:val="none"/>
              </w:rPr>
              <w:t>参加采购活动前3年内，在经营活动中没有重大违法记录：参照投标（报价）函相关承诺格式内容。 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c>
          <w:tcPr>
            <w:tcW w:w="1529" w:type="pct"/>
            <w:noWrap w:val="0"/>
            <w:vAlign w:val="center"/>
          </w:tcPr>
          <w:p w14:paraId="0BF32692">
            <w:pPr>
              <w:spacing w:line="420" w:lineRule="exact"/>
              <w:ind w:left="178" w:leftChars="85"/>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请见投标文件第（）页</w:t>
            </w:r>
          </w:p>
        </w:tc>
      </w:tr>
      <w:tr w14:paraId="46954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5" w:hRule="atLeast"/>
        </w:trPr>
        <w:tc>
          <w:tcPr>
            <w:tcW w:w="535" w:type="pct"/>
            <w:noWrap w:val="0"/>
            <w:vAlign w:val="center"/>
          </w:tcPr>
          <w:p w14:paraId="61C3A0B8">
            <w:pPr>
              <w:spacing w:line="42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w:t>
            </w:r>
          </w:p>
        </w:tc>
        <w:tc>
          <w:tcPr>
            <w:tcW w:w="2935" w:type="pct"/>
            <w:noWrap w:val="0"/>
            <w:vAlign w:val="center"/>
          </w:tcPr>
          <w:p w14:paraId="033ECC9D">
            <w:pPr>
              <w:spacing w:line="420" w:lineRule="exact"/>
              <w:ind w:left="139" w:leftChars="66" w:right="178" w:rightChars="85"/>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单位负责人为同一人或者存在直接控股、管理关系的不同投标人，不得同时参加本采购项目（或采购包）投标（响应）。为本项目提供整体设计、规范编制或者项目管理、监理、检测等服务的投标人，不得再参与本项目投标（响应）。</w:t>
            </w:r>
          </w:p>
        </w:tc>
        <w:tc>
          <w:tcPr>
            <w:tcW w:w="1529" w:type="pct"/>
            <w:noWrap w:val="0"/>
            <w:vAlign w:val="center"/>
          </w:tcPr>
          <w:p w14:paraId="0C5EA3D7">
            <w:pPr>
              <w:spacing w:line="420" w:lineRule="exact"/>
              <w:ind w:left="178" w:leftChars="85"/>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见投标函</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请见投标文件第（）页</w:t>
            </w:r>
          </w:p>
        </w:tc>
      </w:tr>
      <w:tr w14:paraId="79233E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5" w:hRule="atLeast"/>
        </w:trPr>
        <w:tc>
          <w:tcPr>
            <w:tcW w:w="535" w:type="pct"/>
            <w:noWrap w:val="0"/>
            <w:vAlign w:val="center"/>
          </w:tcPr>
          <w:p w14:paraId="3328DC53">
            <w:pPr>
              <w:spacing w:line="42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7</w:t>
            </w:r>
          </w:p>
        </w:tc>
        <w:tc>
          <w:tcPr>
            <w:tcW w:w="2935" w:type="pct"/>
            <w:noWrap w:val="0"/>
            <w:vAlign w:val="center"/>
          </w:tcPr>
          <w:p w14:paraId="61224862">
            <w:pPr>
              <w:spacing w:line="420" w:lineRule="exact"/>
              <w:ind w:left="139" w:leftChars="66" w:right="178" w:rightChars="85"/>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投标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采购代理机构投标截止日当天在“信用中国”网站（www.creditchina.gov.cn）及中国政府采购网（www.ccgp.gov.cn）查询结果为准，如相关失信记录已失效，投标人需提供相关证明资料）。</w:t>
            </w:r>
          </w:p>
        </w:tc>
        <w:tc>
          <w:tcPr>
            <w:tcW w:w="1529" w:type="pct"/>
            <w:noWrap w:val="0"/>
            <w:vAlign w:val="center"/>
          </w:tcPr>
          <w:p w14:paraId="7F298C5A">
            <w:pPr>
              <w:pStyle w:val="22"/>
              <w:spacing w:line="420" w:lineRule="exact"/>
              <w:ind w:left="178" w:leftChars="85" w:right="31" w:firstLine="0" w:firstLineChars="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请见投标文件第（）页</w:t>
            </w:r>
          </w:p>
        </w:tc>
      </w:tr>
      <w:tr w14:paraId="023560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4" w:hRule="atLeast"/>
        </w:trPr>
        <w:tc>
          <w:tcPr>
            <w:tcW w:w="535" w:type="pct"/>
            <w:noWrap w:val="0"/>
            <w:vAlign w:val="center"/>
          </w:tcPr>
          <w:p w14:paraId="2350A18A">
            <w:pPr>
              <w:jc w:val="center"/>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8</w:t>
            </w:r>
          </w:p>
        </w:tc>
        <w:tc>
          <w:tcPr>
            <w:tcW w:w="2935" w:type="pct"/>
            <w:noWrap w:val="0"/>
            <w:vAlign w:val="center"/>
          </w:tcPr>
          <w:p w14:paraId="18127D22">
            <w:pPr>
              <w:spacing w:line="360" w:lineRule="auto"/>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投标人具有行政主管部门颁发的有效的《食品经营许可证》（须提供许可证复印件并加盖投标人公章）。</w:t>
            </w:r>
          </w:p>
        </w:tc>
        <w:tc>
          <w:tcPr>
            <w:tcW w:w="1529" w:type="pct"/>
            <w:noWrap w:val="0"/>
            <w:vAlign w:val="center"/>
          </w:tcPr>
          <w:p w14:paraId="06351581">
            <w:pPr>
              <w:spacing w:line="360" w:lineRule="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请见投标文件第（）页</w:t>
            </w:r>
          </w:p>
        </w:tc>
      </w:tr>
      <w:tr w14:paraId="0EC4DD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4" w:hRule="atLeast"/>
        </w:trPr>
        <w:tc>
          <w:tcPr>
            <w:tcW w:w="535" w:type="pct"/>
            <w:noWrap w:val="0"/>
            <w:vAlign w:val="center"/>
          </w:tcPr>
          <w:p w14:paraId="391B3A70">
            <w:pPr>
              <w:jc w:val="center"/>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val="en-US" w:eastAsia="zh-CN"/>
              </w:rPr>
              <w:t>9</w:t>
            </w:r>
          </w:p>
        </w:tc>
        <w:tc>
          <w:tcPr>
            <w:tcW w:w="2935" w:type="pct"/>
            <w:noWrap w:val="0"/>
            <w:vAlign w:val="center"/>
          </w:tcPr>
          <w:p w14:paraId="50567F89">
            <w:pPr>
              <w:spacing w:line="360" w:lineRule="auto"/>
              <w:jc w:val="center"/>
              <w:rPr>
                <w:rFonts w:hint="eastAsia" w:ascii="仿宋" w:hAnsi="仿宋" w:eastAsia="仿宋" w:cs="仿宋"/>
                <w:color w:val="auto"/>
                <w:sz w:val="28"/>
                <w:szCs w:val="28"/>
                <w:highlight w:val="none"/>
                <w:lang w:eastAsia="zh-Hans"/>
              </w:rPr>
            </w:pPr>
            <w:r>
              <w:rPr>
                <w:rFonts w:hint="eastAsia" w:ascii="仿宋" w:hAnsi="仿宋" w:eastAsia="仿宋" w:cs="仿宋"/>
                <w:color w:val="auto"/>
                <w:sz w:val="28"/>
                <w:szCs w:val="28"/>
                <w:highlight w:val="none"/>
              </w:rPr>
              <w:t>本采购包专门面向中小企业采购</w:t>
            </w:r>
          </w:p>
        </w:tc>
        <w:tc>
          <w:tcPr>
            <w:tcW w:w="1529" w:type="pct"/>
            <w:noWrap w:val="0"/>
            <w:vAlign w:val="center"/>
          </w:tcPr>
          <w:p w14:paraId="2C121946">
            <w:pPr>
              <w:spacing w:line="360" w:lineRule="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出具《中小企业声明函》，</w:t>
            </w:r>
            <w:r>
              <w:rPr>
                <w:rFonts w:hint="eastAsia" w:ascii="仿宋" w:hAnsi="仿宋" w:eastAsia="仿宋" w:cs="仿宋"/>
                <w:color w:val="auto"/>
                <w:sz w:val="28"/>
                <w:szCs w:val="28"/>
                <w:highlight w:val="none"/>
              </w:rPr>
              <w:t>请见投标文件第（）页</w:t>
            </w:r>
          </w:p>
        </w:tc>
      </w:tr>
    </w:tbl>
    <w:p w14:paraId="69CFBC72">
      <w:pPr>
        <w:pStyle w:val="22"/>
        <w:spacing w:line="400" w:lineRule="exact"/>
        <w:ind w:firstLine="0" w:firstLineChars="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备注：以上材料将作为投标人资格审核的重要内容，投标人必须严格按照其内容要求在投标文件中对应如实提供。</w:t>
      </w:r>
    </w:p>
    <w:p w14:paraId="353BE99B">
      <w:pPr>
        <w:pStyle w:val="22"/>
        <w:spacing w:line="400" w:lineRule="exact"/>
        <w:ind w:firstLine="0" w:firstLineChars="0"/>
        <w:outlineLvl w:val="1"/>
        <w:rPr>
          <w:rFonts w:hint="eastAsia" w:ascii="仿宋" w:hAnsi="仿宋" w:eastAsia="仿宋" w:cs="仿宋"/>
          <w:b/>
          <w:color w:val="auto"/>
          <w:sz w:val="28"/>
          <w:szCs w:val="28"/>
          <w:highlight w:val="none"/>
        </w:rPr>
      </w:pPr>
      <w:bookmarkStart w:id="28" w:name="_Toc22768"/>
      <w:r>
        <w:rPr>
          <w:rFonts w:hint="eastAsia" w:ascii="仿宋" w:hAnsi="仿宋" w:eastAsia="仿宋" w:cs="仿宋"/>
          <w:b/>
          <w:color w:val="auto"/>
          <w:sz w:val="28"/>
          <w:szCs w:val="28"/>
          <w:highlight w:val="none"/>
        </w:rPr>
        <w:br w:type="page"/>
      </w:r>
      <w:r>
        <w:rPr>
          <w:rFonts w:hint="eastAsia" w:ascii="仿宋" w:hAnsi="仿宋" w:eastAsia="仿宋" w:cs="仿宋"/>
          <w:b/>
          <w:color w:val="auto"/>
          <w:sz w:val="28"/>
          <w:szCs w:val="28"/>
          <w:highlight w:val="none"/>
        </w:rPr>
        <w:t>2、符合性审查索引表</w:t>
      </w:r>
      <w:bookmarkEnd w:id="28"/>
    </w:p>
    <w:p w14:paraId="1BDCD95E">
      <w:pPr>
        <w:pStyle w:val="6"/>
        <w:rPr>
          <w:rFonts w:hint="eastAsia" w:ascii="仿宋" w:hAnsi="仿宋" w:eastAsia="仿宋" w:cs="仿宋"/>
          <w:color w:val="auto"/>
          <w:sz w:val="28"/>
          <w:szCs w:val="28"/>
          <w:highlight w:val="none"/>
        </w:rPr>
      </w:pPr>
    </w:p>
    <w:tbl>
      <w:tblPr>
        <w:tblStyle w:val="12"/>
        <w:tblW w:w="4997"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94"/>
        <w:gridCol w:w="2251"/>
        <w:gridCol w:w="3691"/>
        <w:gridCol w:w="2320"/>
      </w:tblGrid>
      <w:tr w14:paraId="7607E3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628" w:hRule="atLeast"/>
        </w:trPr>
        <w:tc>
          <w:tcPr>
            <w:tcW w:w="438" w:type="pct"/>
            <w:noWrap w:val="0"/>
            <w:vAlign w:val="center"/>
          </w:tcPr>
          <w:p w14:paraId="3E121E55">
            <w:pPr>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序号</w:t>
            </w:r>
          </w:p>
        </w:tc>
        <w:tc>
          <w:tcPr>
            <w:tcW w:w="1242" w:type="pct"/>
            <w:noWrap w:val="0"/>
            <w:vAlign w:val="center"/>
          </w:tcPr>
          <w:p w14:paraId="12B16C04">
            <w:pPr>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评审点要求概况</w:t>
            </w:r>
          </w:p>
        </w:tc>
        <w:tc>
          <w:tcPr>
            <w:tcW w:w="2037" w:type="pct"/>
            <w:noWrap w:val="0"/>
            <w:vAlign w:val="center"/>
          </w:tcPr>
          <w:p w14:paraId="6958876B">
            <w:pPr>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评审点具体描述</w:t>
            </w:r>
          </w:p>
        </w:tc>
        <w:tc>
          <w:tcPr>
            <w:tcW w:w="1280" w:type="pct"/>
            <w:noWrap w:val="0"/>
            <w:vAlign w:val="center"/>
          </w:tcPr>
          <w:p w14:paraId="30E706DE">
            <w:pPr>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证明资料</w:t>
            </w:r>
          </w:p>
        </w:tc>
      </w:tr>
      <w:tr w14:paraId="045448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98" w:hRule="atLeast"/>
        </w:trPr>
        <w:tc>
          <w:tcPr>
            <w:tcW w:w="438" w:type="pct"/>
            <w:noWrap w:val="0"/>
            <w:vAlign w:val="center"/>
          </w:tcPr>
          <w:p w14:paraId="33C62DCC">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p>
        </w:tc>
        <w:tc>
          <w:tcPr>
            <w:tcW w:w="1242" w:type="pct"/>
            <w:noWrap w:val="0"/>
            <w:vAlign w:val="center"/>
          </w:tcPr>
          <w:p w14:paraId="548980BA">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投标函</w:t>
            </w:r>
          </w:p>
        </w:tc>
        <w:tc>
          <w:tcPr>
            <w:tcW w:w="2037" w:type="pct"/>
            <w:noWrap w:val="0"/>
            <w:vAlign w:val="center"/>
          </w:tcPr>
          <w:p w14:paraId="480C5DB1">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已按规定格式编制及盖章、签署，投标有效期满足招标文件要求。</w:t>
            </w:r>
          </w:p>
        </w:tc>
        <w:tc>
          <w:tcPr>
            <w:tcW w:w="1280" w:type="pct"/>
            <w:noWrap w:val="0"/>
            <w:vAlign w:val="center"/>
          </w:tcPr>
          <w:p w14:paraId="79EEF707">
            <w:pPr>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请见投标文件第（）页</w:t>
            </w:r>
          </w:p>
        </w:tc>
      </w:tr>
      <w:tr w14:paraId="185F4A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707" w:hRule="atLeast"/>
        </w:trPr>
        <w:tc>
          <w:tcPr>
            <w:tcW w:w="438" w:type="pct"/>
            <w:noWrap w:val="0"/>
            <w:vAlign w:val="center"/>
          </w:tcPr>
          <w:p w14:paraId="7F90C1C4">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w:t>
            </w:r>
          </w:p>
        </w:tc>
        <w:tc>
          <w:tcPr>
            <w:tcW w:w="1242" w:type="pct"/>
            <w:noWrap w:val="0"/>
            <w:vAlign w:val="center"/>
          </w:tcPr>
          <w:p w14:paraId="19CBCEBE">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法定代表人证明书及授权委托书</w:t>
            </w:r>
          </w:p>
        </w:tc>
        <w:tc>
          <w:tcPr>
            <w:tcW w:w="2037" w:type="pct"/>
            <w:noWrap w:val="0"/>
            <w:vAlign w:val="center"/>
          </w:tcPr>
          <w:p w14:paraId="5DDD6EA2">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已经盖章、签署、授权有效期。</w:t>
            </w:r>
          </w:p>
        </w:tc>
        <w:tc>
          <w:tcPr>
            <w:tcW w:w="1280" w:type="pct"/>
            <w:noWrap w:val="0"/>
            <w:vAlign w:val="center"/>
          </w:tcPr>
          <w:p w14:paraId="6552D5D8">
            <w:pPr>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请见投标文件第（）页</w:t>
            </w:r>
          </w:p>
        </w:tc>
      </w:tr>
      <w:tr w14:paraId="187D38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87" w:hRule="atLeast"/>
        </w:trPr>
        <w:tc>
          <w:tcPr>
            <w:tcW w:w="438" w:type="pct"/>
            <w:noWrap w:val="0"/>
            <w:vAlign w:val="center"/>
          </w:tcPr>
          <w:p w14:paraId="38063E86">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w:t>
            </w:r>
          </w:p>
        </w:tc>
        <w:tc>
          <w:tcPr>
            <w:tcW w:w="1242" w:type="pct"/>
            <w:noWrap w:val="0"/>
            <w:vAlign w:val="center"/>
          </w:tcPr>
          <w:p w14:paraId="3509BA2A">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投标文件内容、签署、盖章</w:t>
            </w:r>
          </w:p>
        </w:tc>
        <w:tc>
          <w:tcPr>
            <w:tcW w:w="2037" w:type="pct"/>
            <w:noWrap w:val="0"/>
            <w:vAlign w:val="center"/>
          </w:tcPr>
          <w:p w14:paraId="598F253A">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投标文件内容完整，无重大错漏，并已按招标文件要求盖章、签署。</w:t>
            </w:r>
          </w:p>
        </w:tc>
        <w:tc>
          <w:tcPr>
            <w:tcW w:w="1280" w:type="pct"/>
            <w:noWrap w:val="0"/>
            <w:vAlign w:val="center"/>
          </w:tcPr>
          <w:p w14:paraId="7179BFAD">
            <w:pPr>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请见投标文件第（）页</w:t>
            </w:r>
          </w:p>
        </w:tc>
      </w:tr>
      <w:tr w14:paraId="557B2B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86" w:hRule="atLeast"/>
        </w:trPr>
        <w:tc>
          <w:tcPr>
            <w:tcW w:w="438" w:type="pct"/>
            <w:noWrap w:val="0"/>
            <w:vAlign w:val="center"/>
          </w:tcPr>
          <w:p w14:paraId="74410D1C">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w:t>
            </w:r>
          </w:p>
        </w:tc>
        <w:tc>
          <w:tcPr>
            <w:tcW w:w="1242" w:type="pct"/>
            <w:noWrap w:val="0"/>
            <w:vAlign w:val="center"/>
          </w:tcPr>
          <w:p w14:paraId="360C0086">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投标报价</w:t>
            </w:r>
          </w:p>
        </w:tc>
        <w:tc>
          <w:tcPr>
            <w:tcW w:w="2037" w:type="pct"/>
            <w:noWrap w:val="0"/>
            <w:vAlign w:val="center"/>
          </w:tcPr>
          <w:p w14:paraId="172BE37E">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投标人的投标报价</w:t>
            </w:r>
            <w:r>
              <w:rPr>
                <w:rFonts w:hint="eastAsia" w:ascii="仿宋" w:hAnsi="仿宋" w:eastAsia="仿宋" w:cs="仿宋"/>
                <w:color w:val="auto"/>
                <w:sz w:val="28"/>
                <w:szCs w:val="28"/>
                <w:highlight w:val="none"/>
                <w:lang w:val="en-US" w:eastAsia="zh-CN"/>
              </w:rPr>
              <w:t>符合招标文件要求</w:t>
            </w:r>
            <w:r>
              <w:rPr>
                <w:rFonts w:hint="eastAsia" w:ascii="仿宋" w:hAnsi="仿宋" w:eastAsia="仿宋" w:cs="仿宋"/>
                <w:color w:val="auto"/>
                <w:sz w:val="28"/>
                <w:szCs w:val="28"/>
                <w:highlight w:val="none"/>
              </w:rPr>
              <w:t>。</w:t>
            </w:r>
          </w:p>
        </w:tc>
        <w:tc>
          <w:tcPr>
            <w:tcW w:w="1280" w:type="pct"/>
            <w:noWrap w:val="0"/>
            <w:vAlign w:val="center"/>
          </w:tcPr>
          <w:p w14:paraId="1F7072A7">
            <w:pPr>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请见投标文件第（）页</w:t>
            </w:r>
          </w:p>
        </w:tc>
      </w:tr>
      <w:tr w14:paraId="6D7401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38" w:type="pct"/>
            <w:noWrap w:val="0"/>
            <w:vAlign w:val="center"/>
          </w:tcPr>
          <w:p w14:paraId="6EFB2D40">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w:t>
            </w:r>
          </w:p>
        </w:tc>
        <w:tc>
          <w:tcPr>
            <w:tcW w:w="1242" w:type="pct"/>
            <w:noWrap w:val="0"/>
            <w:vAlign w:val="center"/>
          </w:tcPr>
          <w:p w14:paraId="4E2F7C99">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商务审查</w:t>
            </w:r>
          </w:p>
        </w:tc>
        <w:tc>
          <w:tcPr>
            <w:tcW w:w="2037" w:type="pct"/>
            <w:noWrap w:val="0"/>
            <w:vAlign w:val="center"/>
          </w:tcPr>
          <w:p w14:paraId="61094894">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商务条款满足招标文件要求。</w:t>
            </w:r>
          </w:p>
        </w:tc>
        <w:tc>
          <w:tcPr>
            <w:tcW w:w="1280" w:type="pct"/>
            <w:noWrap w:val="0"/>
            <w:vAlign w:val="center"/>
          </w:tcPr>
          <w:p w14:paraId="67CDA414">
            <w:pPr>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请见投标文件第（）页</w:t>
            </w:r>
          </w:p>
        </w:tc>
      </w:tr>
      <w:tr w14:paraId="1B83BB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190" w:hRule="atLeast"/>
        </w:trPr>
        <w:tc>
          <w:tcPr>
            <w:tcW w:w="438" w:type="pct"/>
            <w:noWrap w:val="0"/>
            <w:vAlign w:val="center"/>
          </w:tcPr>
          <w:p w14:paraId="3D6DC81A">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w:t>
            </w:r>
          </w:p>
        </w:tc>
        <w:tc>
          <w:tcPr>
            <w:tcW w:w="1242" w:type="pct"/>
            <w:noWrap w:val="0"/>
            <w:vAlign w:val="center"/>
          </w:tcPr>
          <w:p w14:paraId="129ADFA2">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技术审查</w:t>
            </w:r>
          </w:p>
        </w:tc>
        <w:tc>
          <w:tcPr>
            <w:tcW w:w="2037" w:type="pct"/>
            <w:noWrap w:val="0"/>
            <w:vAlign w:val="center"/>
          </w:tcPr>
          <w:p w14:paraId="073B2D10">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技术条款满足招标文件要求。</w:t>
            </w:r>
          </w:p>
        </w:tc>
        <w:tc>
          <w:tcPr>
            <w:tcW w:w="1280" w:type="pct"/>
            <w:noWrap w:val="0"/>
            <w:vAlign w:val="center"/>
          </w:tcPr>
          <w:p w14:paraId="7C0FFCDF">
            <w:pPr>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请见投标文件第（）页</w:t>
            </w:r>
          </w:p>
        </w:tc>
      </w:tr>
      <w:tr w14:paraId="5EBD63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38" w:type="pct"/>
            <w:noWrap w:val="0"/>
            <w:vAlign w:val="center"/>
          </w:tcPr>
          <w:p w14:paraId="387A5FD7">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7</w:t>
            </w:r>
          </w:p>
        </w:tc>
        <w:tc>
          <w:tcPr>
            <w:tcW w:w="1242" w:type="pct"/>
            <w:noWrap w:val="0"/>
            <w:vAlign w:val="center"/>
          </w:tcPr>
          <w:p w14:paraId="7C7F8CE5">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需求中带“★”要求</w:t>
            </w:r>
          </w:p>
        </w:tc>
        <w:tc>
          <w:tcPr>
            <w:tcW w:w="2037" w:type="pct"/>
            <w:noWrap w:val="0"/>
            <w:vAlign w:val="center"/>
          </w:tcPr>
          <w:p w14:paraId="7BC7F8E1">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投标文件满足招标文件带“★”要求</w:t>
            </w:r>
          </w:p>
        </w:tc>
        <w:tc>
          <w:tcPr>
            <w:tcW w:w="1280" w:type="pct"/>
            <w:noWrap w:val="0"/>
            <w:vAlign w:val="center"/>
          </w:tcPr>
          <w:p w14:paraId="62F33B04">
            <w:pPr>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请见投标文件第（）页</w:t>
            </w:r>
          </w:p>
        </w:tc>
      </w:tr>
      <w:tr w14:paraId="6E900F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38" w:type="pct"/>
            <w:noWrap w:val="0"/>
            <w:vAlign w:val="center"/>
          </w:tcPr>
          <w:p w14:paraId="4982E3CC">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8</w:t>
            </w:r>
          </w:p>
        </w:tc>
        <w:tc>
          <w:tcPr>
            <w:tcW w:w="1242" w:type="pct"/>
            <w:noWrap w:val="0"/>
            <w:vAlign w:val="center"/>
          </w:tcPr>
          <w:p w14:paraId="742CC650">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附加条件</w:t>
            </w:r>
          </w:p>
        </w:tc>
        <w:tc>
          <w:tcPr>
            <w:tcW w:w="2037" w:type="pct"/>
            <w:noWrap w:val="0"/>
            <w:vAlign w:val="center"/>
          </w:tcPr>
          <w:p w14:paraId="3A3F49D1">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投标文件未含有采购人不能接受的附加条件。</w:t>
            </w:r>
          </w:p>
        </w:tc>
        <w:tc>
          <w:tcPr>
            <w:tcW w:w="1280" w:type="pct"/>
            <w:noWrap w:val="0"/>
            <w:vAlign w:val="center"/>
          </w:tcPr>
          <w:p w14:paraId="0CC24F94">
            <w:pPr>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请见投标文件第（）页</w:t>
            </w:r>
          </w:p>
        </w:tc>
      </w:tr>
      <w:tr w14:paraId="69CEA5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38" w:type="pct"/>
            <w:noWrap w:val="0"/>
            <w:vAlign w:val="center"/>
          </w:tcPr>
          <w:p w14:paraId="3C7E9A17">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9</w:t>
            </w:r>
          </w:p>
        </w:tc>
        <w:tc>
          <w:tcPr>
            <w:tcW w:w="1242" w:type="pct"/>
            <w:noWrap w:val="0"/>
            <w:vAlign w:val="center"/>
          </w:tcPr>
          <w:p w14:paraId="2B41FDCC">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无效情形</w:t>
            </w:r>
          </w:p>
        </w:tc>
        <w:tc>
          <w:tcPr>
            <w:tcW w:w="2037" w:type="pct"/>
            <w:noWrap w:val="0"/>
            <w:vAlign w:val="center"/>
          </w:tcPr>
          <w:p w14:paraId="36251E5B">
            <w:pPr>
              <w:pStyle w:val="16"/>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投标文件中未有法律、法规和招标文件规定的其他无效情形。</w:t>
            </w:r>
          </w:p>
        </w:tc>
        <w:tc>
          <w:tcPr>
            <w:tcW w:w="1280" w:type="pct"/>
            <w:noWrap w:val="0"/>
            <w:vAlign w:val="center"/>
          </w:tcPr>
          <w:p w14:paraId="18BF4A0D">
            <w:pPr>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请见投标文件第（）页</w:t>
            </w:r>
          </w:p>
        </w:tc>
      </w:tr>
    </w:tbl>
    <w:p w14:paraId="7A4527E6">
      <w:pPr>
        <w:rPr>
          <w:rFonts w:hint="eastAsia" w:ascii="仿宋" w:hAnsi="仿宋" w:eastAsia="仿宋" w:cs="仿宋"/>
          <w:color w:val="auto"/>
          <w:sz w:val="28"/>
          <w:szCs w:val="28"/>
          <w:highlight w:val="none"/>
        </w:rPr>
        <w:sectPr>
          <w:pgSz w:w="11907" w:h="16840"/>
          <w:pgMar w:top="1559" w:right="1531" w:bottom="1712" w:left="1531" w:header="1089" w:footer="725" w:gutter="0"/>
          <w:pgNumType w:fmt="decimal"/>
          <w:cols w:space="720" w:num="1"/>
          <w:docGrid w:linePitch="523" w:charSpace="0"/>
        </w:sectPr>
      </w:pPr>
    </w:p>
    <w:p w14:paraId="31CF41D8">
      <w:pPr>
        <w:pStyle w:val="22"/>
        <w:spacing w:line="400" w:lineRule="exact"/>
        <w:ind w:firstLine="0" w:firstLineChars="0"/>
        <w:outlineLvl w:val="1"/>
        <w:rPr>
          <w:rFonts w:hint="eastAsia" w:ascii="仿宋" w:hAnsi="仿宋" w:eastAsia="仿宋" w:cs="仿宋"/>
          <w:b/>
          <w:color w:val="auto"/>
          <w:sz w:val="28"/>
          <w:szCs w:val="28"/>
          <w:highlight w:val="none"/>
        </w:rPr>
      </w:pPr>
      <w:bookmarkStart w:id="29" w:name="_Toc2026"/>
      <w:bookmarkStart w:id="30" w:name="_Toc20565"/>
      <w:bookmarkStart w:id="31" w:name="_Toc30466"/>
      <w:r>
        <w:rPr>
          <w:rFonts w:hint="eastAsia" w:ascii="仿宋" w:hAnsi="仿宋" w:eastAsia="仿宋" w:cs="仿宋"/>
          <w:b/>
          <w:color w:val="auto"/>
          <w:sz w:val="28"/>
          <w:szCs w:val="28"/>
          <w:highlight w:val="none"/>
        </w:rPr>
        <w:t>3、评分索引表</w:t>
      </w:r>
      <w:bookmarkEnd w:id="29"/>
      <w:bookmarkEnd w:id="30"/>
      <w:bookmarkEnd w:id="31"/>
    </w:p>
    <w:p w14:paraId="0E6EEA57">
      <w:pPr>
        <w:spacing w:line="420" w:lineRule="exact"/>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 xml:space="preserve">评分索引表 </w:t>
      </w:r>
    </w:p>
    <w:p w14:paraId="7A0C611C">
      <w:pPr>
        <w:pStyle w:val="22"/>
        <w:spacing w:line="400" w:lineRule="exact"/>
        <w:ind w:firstLine="0" w:firstLineChars="0"/>
        <w:rPr>
          <w:rFonts w:hint="eastAsia" w:ascii="仿宋" w:hAnsi="仿宋" w:eastAsia="仿宋" w:cs="仿宋"/>
          <w:color w:val="auto"/>
          <w:sz w:val="28"/>
          <w:szCs w:val="28"/>
          <w:highlight w:val="none"/>
        </w:rPr>
      </w:pPr>
    </w:p>
    <w:tbl>
      <w:tblPr>
        <w:tblStyle w:val="12"/>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1"/>
        <w:gridCol w:w="1750"/>
        <w:gridCol w:w="828"/>
        <w:gridCol w:w="4250"/>
        <w:gridCol w:w="1478"/>
      </w:tblGrid>
      <w:tr w14:paraId="4CDE22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415" w:type="pct"/>
            <w:noWrap w:val="0"/>
            <w:vAlign w:val="center"/>
          </w:tcPr>
          <w:p w14:paraId="580B13FB">
            <w:pPr>
              <w:pStyle w:val="22"/>
              <w:spacing w:line="340" w:lineRule="atLeast"/>
              <w:ind w:firstLine="0" w:firstLineChars="0"/>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序号</w:t>
            </w:r>
          </w:p>
        </w:tc>
        <w:tc>
          <w:tcPr>
            <w:tcW w:w="966" w:type="pct"/>
            <w:noWrap w:val="0"/>
            <w:vAlign w:val="center"/>
          </w:tcPr>
          <w:p w14:paraId="72D567D1">
            <w:pPr>
              <w:pStyle w:val="22"/>
              <w:spacing w:line="340" w:lineRule="atLeast"/>
              <w:ind w:firstLine="0" w:firstLineChars="0"/>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评分内容</w:t>
            </w:r>
          </w:p>
        </w:tc>
        <w:tc>
          <w:tcPr>
            <w:tcW w:w="457" w:type="pct"/>
            <w:noWrap w:val="0"/>
            <w:vAlign w:val="center"/>
          </w:tcPr>
          <w:p w14:paraId="1F5F66BD">
            <w:pPr>
              <w:pStyle w:val="22"/>
              <w:spacing w:line="340" w:lineRule="atLeast"/>
              <w:ind w:firstLine="0" w:firstLineChars="0"/>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分值</w:t>
            </w:r>
          </w:p>
        </w:tc>
        <w:tc>
          <w:tcPr>
            <w:tcW w:w="2346" w:type="pct"/>
            <w:noWrap w:val="0"/>
            <w:vAlign w:val="center"/>
          </w:tcPr>
          <w:p w14:paraId="7CED2276">
            <w:pPr>
              <w:pStyle w:val="22"/>
              <w:spacing w:line="340" w:lineRule="atLeast"/>
              <w:ind w:firstLine="0" w:firstLineChars="0"/>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评分标准</w:t>
            </w:r>
          </w:p>
        </w:tc>
        <w:tc>
          <w:tcPr>
            <w:tcW w:w="814" w:type="pct"/>
            <w:noWrap w:val="0"/>
            <w:vAlign w:val="center"/>
          </w:tcPr>
          <w:p w14:paraId="5415655F">
            <w:pPr>
              <w:pStyle w:val="22"/>
              <w:spacing w:line="340" w:lineRule="atLeast"/>
              <w:ind w:firstLine="0" w:firstLineChars="0"/>
              <w:jc w:val="center"/>
              <w:rPr>
                <w:rFonts w:hint="eastAsia" w:ascii="仿宋" w:hAnsi="仿宋" w:eastAsia="仿宋" w:cs="仿宋"/>
                <w:b/>
                <w:color w:val="auto"/>
                <w:sz w:val="28"/>
                <w:szCs w:val="28"/>
                <w:highlight w:val="none"/>
              </w:rPr>
            </w:pPr>
            <w:r>
              <w:rPr>
                <w:rFonts w:hint="eastAsia" w:ascii="仿宋" w:hAnsi="仿宋" w:eastAsia="仿宋" w:cs="仿宋"/>
                <w:color w:val="auto"/>
                <w:sz w:val="28"/>
                <w:szCs w:val="28"/>
                <w:highlight w:val="none"/>
              </w:rPr>
              <w:t>证明资料</w:t>
            </w:r>
          </w:p>
        </w:tc>
      </w:tr>
      <w:tr w14:paraId="002DD1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5000" w:type="pct"/>
            <w:gridSpan w:val="5"/>
            <w:noWrap w:val="0"/>
            <w:vAlign w:val="center"/>
          </w:tcPr>
          <w:p w14:paraId="29BBA902">
            <w:pPr>
              <w:pStyle w:val="22"/>
              <w:spacing w:line="340" w:lineRule="atLeast"/>
              <w:ind w:firstLine="0" w:firstLineChars="0"/>
              <w:jc w:val="center"/>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商务评分</w:t>
            </w:r>
          </w:p>
        </w:tc>
      </w:tr>
      <w:tr w14:paraId="238326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415" w:type="pct"/>
            <w:noWrap w:val="0"/>
            <w:vAlign w:val="center"/>
          </w:tcPr>
          <w:p w14:paraId="52CA01DA">
            <w:pPr>
              <w:pStyle w:val="22"/>
              <w:spacing w:line="340" w:lineRule="atLeast"/>
              <w:ind w:firstLine="0" w:firstLineChars="0"/>
              <w:jc w:val="center"/>
              <w:rPr>
                <w:rFonts w:hint="eastAsia" w:ascii="仿宋" w:hAnsi="仿宋" w:eastAsia="仿宋" w:cs="仿宋"/>
                <w:color w:val="auto"/>
                <w:sz w:val="28"/>
                <w:szCs w:val="28"/>
                <w:highlight w:val="none"/>
              </w:rPr>
            </w:pPr>
          </w:p>
        </w:tc>
        <w:tc>
          <w:tcPr>
            <w:tcW w:w="966" w:type="pct"/>
            <w:noWrap w:val="0"/>
            <w:vAlign w:val="center"/>
          </w:tcPr>
          <w:p w14:paraId="4E578C84">
            <w:pPr>
              <w:pStyle w:val="22"/>
              <w:spacing w:line="340" w:lineRule="atLeast"/>
              <w:ind w:firstLine="0" w:firstLineChars="0"/>
              <w:jc w:val="center"/>
              <w:rPr>
                <w:rFonts w:hint="eastAsia" w:ascii="仿宋" w:hAnsi="仿宋" w:eastAsia="仿宋" w:cs="仿宋"/>
                <w:color w:val="auto"/>
                <w:sz w:val="28"/>
                <w:szCs w:val="28"/>
                <w:highlight w:val="none"/>
              </w:rPr>
            </w:pPr>
          </w:p>
        </w:tc>
        <w:tc>
          <w:tcPr>
            <w:tcW w:w="457" w:type="pct"/>
            <w:noWrap w:val="0"/>
            <w:vAlign w:val="center"/>
          </w:tcPr>
          <w:p w14:paraId="409B14E0">
            <w:pPr>
              <w:pStyle w:val="22"/>
              <w:spacing w:line="340" w:lineRule="atLeast"/>
              <w:ind w:firstLine="0" w:firstLineChars="0"/>
              <w:jc w:val="center"/>
              <w:rPr>
                <w:rFonts w:hint="eastAsia" w:ascii="仿宋" w:hAnsi="仿宋" w:eastAsia="仿宋" w:cs="仿宋"/>
                <w:color w:val="auto"/>
                <w:sz w:val="28"/>
                <w:szCs w:val="28"/>
                <w:highlight w:val="none"/>
              </w:rPr>
            </w:pPr>
          </w:p>
        </w:tc>
        <w:tc>
          <w:tcPr>
            <w:tcW w:w="2346" w:type="pct"/>
            <w:noWrap w:val="0"/>
            <w:vAlign w:val="center"/>
          </w:tcPr>
          <w:p w14:paraId="51617D8C">
            <w:pPr>
              <w:pStyle w:val="22"/>
              <w:spacing w:line="340" w:lineRule="atLeast"/>
              <w:ind w:left="1" w:firstLine="0" w:firstLineChars="0"/>
              <w:rPr>
                <w:rFonts w:hint="eastAsia" w:ascii="仿宋" w:hAnsi="仿宋" w:eastAsia="仿宋" w:cs="仿宋"/>
                <w:color w:val="auto"/>
                <w:sz w:val="28"/>
                <w:szCs w:val="28"/>
                <w:highlight w:val="none"/>
              </w:rPr>
            </w:pPr>
          </w:p>
        </w:tc>
        <w:tc>
          <w:tcPr>
            <w:tcW w:w="814" w:type="pct"/>
            <w:noWrap w:val="0"/>
            <w:vAlign w:val="center"/>
          </w:tcPr>
          <w:p w14:paraId="54C980D9">
            <w:pPr>
              <w:pStyle w:val="22"/>
              <w:spacing w:line="340" w:lineRule="atLeast"/>
              <w:ind w:firstLine="0" w:firstLineChars="0"/>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请见P（）</w:t>
            </w:r>
          </w:p>
        </w:tc>
      </w:tr>
      <w:tr w14:paraId="15592B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415" w:type="pct"/>
            <w:noWrap w:val="0"/>
            <w:vAlign w:val="center"/>
          </w:tcPr>
          <w:p w14:paraId="502F669E">
            <w:pPr>
              <w:pStyle w:val="22"/>
              <w:spacing w:line="340" w:lineRule="atLeast"/>
              <w:ind w:firstLine="0" w:firstLineChars="0"/>
              <w:jc w:val="center"/>
              <w:rPr>
                <w:rFonts w:hint="eastAsia" w:ascii="仿宋" w:hAnsi="仿宋" w:eastAsia="仿宋" w:cs="仿宋"/>
                <w:color w:val="auto"/>
                <w:sz w:val="28"/>
                <w:szCs w:val="28"/>
                <w:highlight w:val="none"/>
              </w:rPr>
            </w:pPr>
          </w:p>
        </w:tc>
        <w:tc>
          <w:tcPr>
            <w:tcW w:w="966" w:type="pct"/>
            <w:noWrap w:val="0"/>
            <w:vAlign w:val="center"/>
          </w:tcPr>
          <w:p w14:paraId="63745A6C">
            <w:pPr>
              <w:pStyle w:val="22"/>
              <w:spacing w:line="360" w:lineRule="atLeast"/>
              <w:ind w:firstLine="0" w:firstLineChars="0"/>
              <w:jc w:val="center"/>
              <w:rPr>
                <w:rFonts w:hint="eastAsia" w:ascii="仿宋" w:hAnsi="仿宋" w:eastAsia="仿宋" w:cs="仿宋"/>
                <w:color w:val="auto"/>
                <w:sz w:val="28"/>
                <w:szCs w:val="28"/>
                <w:highlight w:val="none"/>
              </w:rPr>
            </w:pPr>
          </w:p>
        </w:tc>
        <w:tc>
          <w:tcPr>
            <w:tcW w:w="457" w:type="pct"/>
            <w:noWrap w:val="0"/>
            <w:vAlign w:val="center"/>
          </w:tcPr>
          <w:p w14:paraId="7379B89F">
            <w:pPr>
              <w:pStyle w:val="22"/>
              <w:spacing w:line="360" w:lineRule="atLeast"/>
              <w:ind w:firstLine="0" w:firstLineChars="0"/>
              <w:jc w:val="center"/>
              <w:rPr>
                <w:rFonts w:hint="eastAsia" w:ascii="仿宋" w:hAnsi="仿宋" w:eastAsia="仿宋" w:cs="仿宋"/>
                <w:color w:val="auto"/>
                <w:sz w:val="28"/>
                <w:szCs w:val="28"/>
                <w:highlight w:val="none"/>
              </w:rPr>
            </w:pPr>
          </w:p>
        </w:tc>
        <w:tc>
          <w:tcPr>
            <w:tcW w:w="2346" w:type="pct"/>
            <w:noWrap w:val="0"/>
            <w:vAlign w:val="center"/>
          </w:tcPr>
          <w:p w14:paraId="3FA026E1">
            <w:pPr>
              <w:spacing w:line="360" w:lineRule="atLeast"/>
              <w:rPr>
                <w:rFonts w:hint="eastAsia" w:ascii="仿宋" w:hAnsi="仿宋" w:eastAsia="仿宋" w:cs="仿宋"/>
                <w:color w:val="auto"/>
                <w:sz w:val="28"/>
                <w:szCs w:val="28"/>
                <w:highlight w:val="none"/>
              </w:rPr>
            </w:pPr>
          </w:p>
        </w:tc>
        <w:tc>
          <w:tcPr>
            <w:tcW w:w="814" w:type="pct"/>
            <w:noWrap w:val="0"/>
            <w:vAlign w:val="top"/>
          </w:tcPr>
          <w:p w14:paraId="045AE00A">
            <w:pPr>
              <w:pStyle w:val="22"/>
              <w:spacing w:line="340" w:lineRule="atLeast"/>
              <w:ind w:firstLine="0" w:firstLineChars="0"/>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请见P（）</w:t>
            </w:r>
          </w:p>
        </w:tc>
      </w:tr>
      <w:tr w14:paraId="4C0CF4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15" w:type="pct"/>
            <w:noWrap w:val="0"/>
            <w:vAlign w:val="center"/>
          </w:tcPr>
          <w:p w14:paraId="416550B1">
            <w:pPr>
              <w:pStyle w:val="22"/>
              <w:spacing w:line="340" w:lineRule="atLeast"/>
              <w:ind w:firstLine="0" w:firstLineChars="0"/>
              <w:jc w:val="center"/>
              <w:rPr>
                <w:rFonts w:hint="eastAsia" w:ascii="仿宋" w:hAnsi="仿宋" w:eastAsia="仿宋" w:cs="仿宋"/>
                <w:color w:val="auto"/>
                <w:sz w:val="28"/>
                <w:szCs w:val="28"/>
                <w:highlight w:val="none"/>
              </w:rPr>
            </w:pPr>
          </w:p>
        </w:tc>
        <w:tc>
          <w:tcPr>
            <w:tcW w:w="966" w:type="pct"/>
            <w:noWrap w:val="0"/>
            <w:vAlign w:val="center"/>
          </w:tcPr>
          <w:p w14:paraId="713B4C24">
            <w:pPr>
              <w:pStyle w:val="22"/>
              <w:spacing w:line="360" w:lineRule="atLeast"/>
              <w:ind w:firstLine="0" w:firstLineChars="0"/>
              <w:jc w:val="center"/>
              <w:rPr>
                <w:rFonts w:hint="eastAsia" w:ascii="仿宋" w:hAnsi="仿宋" w:eastAsia="仿宋" w:cs="仿宋"/>
                <w:color w:val="auto"/>
                <w:sz w:val="28"/>
                <w:szCs w:val="28"/>
                <w:highlight w:val="none"/>
              </w:rPr>
            </w:pPr>
          </w:p>
        </w:tc>
        <w:tc>
          <w:tcPr>
            <w:tcW w:w="457" w:type="pct"/>
            <w:noWrap w:val="0"/>
            <w:vAlign w:val="center"/>
          </w:tcPr>
          <w:p w14:paraId="3A02D5CD">
            <w:pPr>
              <w:pStyle w:val="22"/>
              <w:spacing w:line="360" w:lineRule="atLeast"/>
              <w:ind w:firstLine="0" w:firstLineChars="0"/>
              <w:jc w:val="center"/>
              <w:rPr>
                <w:rFonts w:hint="eastAsia" w:ascii="仿宋" w:hAnsi="仿宋" w:eastAsia="仿宋" w:cs="仿宋"/>
                <w:color w:val="auto"/>
                <w:sz w:val="28"/>
                <w:szCs w:val="28"/>
                <w:highlight w:val="none"/>
              </w:rPr>
            </w:pPr>
          </w:p>
        </w:tc>
        <w:tc>
          <w:tcPr>
            <w:tcW w:w="2346" w:type="pct"/>
            <w:noWrap w:val="0"/>
            <w:vAlign w:val="center"/>
          </w:tcPr>
          <w:p w14:paraId="3C545019">
            <w:pPr>
              <w:spacing w:line="360" w:lineRule="atLeast"/>
              <w:rPr>
                <w:rFonts w:hint="eastAsia" w:ascii="仿宋" w:hAnsi="仿宋" w:eastAsia="仿宋" w:cs="仿宋"/>
                <w:color w:val="auto"/>
                <w:sz w:val="28"/>
                <w:szCs w:val="28"/>
                <w:highlight w:val="none"/>
              </w:rPr>
            </w:pPr>
          </w:p>
        </w:tc>
        <w:tc>
          <w:tcPr>
            <w:tcW w:w="814" w:type="pct"/>
            <w:noWrap w:val="0"/>
            <w:vAlign w:val="top"/>
          </w:tcPr>
          <w:p w14:paraId="47CAF489">
            <w:pPr>
              <w:pStyle w:val="22"/>
              <w:spacing w:line="340" w:lineRule="atLeast"/>
              <w:ind w:firstLine="0" w:firstLineChars="0"/>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请见P（）</w:t>
            </w:r>
          </w:p>
        </w:tc>
      </w:tr>
      <w:tr w14:paraId="7D1C4A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415" w:type="pct"/>
            <w:noWrap w:val="0"/>
            <w:vAlign w:val="center"/>
          </w:tcPr>
          <w:p w14:paraId="3725488B">
            <w:pPr>
              <w:pStyle w:val="22"/>
              <w:spacing w:line="340" w:lineRule="atLeast"/>
              <w:ind w:firstLine="0" w:firstLineChars="0"/>
              <w:jc w:val="center"/>
              <w:rPr>
                <w:rFonts w:hint="eastAsia" w:ascii="仿宋" w:hAnsi="仿宋" w:eastAsia="仿宋" w:cs="仿宋"/>
                <w:color w:val="auto"/>
                <w:sz w:val="28"/>
                <w:szCs w:val="28"/>
                <w:highlight w:val="none"/>
              </w:rPr>
            </w:pPr>
          </w:p>
        </w:tc>
        <w:tc>
          <w:tcPr>
            <w:tcW w:w="966" w:type="pct"/>
            <w:noWrap w:val="0"/>
            <w:vAlign w:val="center"/>
          </w:tcPr>
          <w:p w14:paraId="2D1ED674">
            <w:pPr>
              <w:pStyle w:val="22"/>
              <w:spacing w:line="360" w:lineRule="atLeast"/>
              <w:ind w:firstLine="0" w:firstLineChars="0"/>
              <w:jc w:val="center"/>
              <w:rPr>
                <w:rFonts w:hint="eastAsia" w:ascii="仿宋" w:hAnsi="仿宋" w:eastAsia="仿宋" w:cs="仿宋"/>
                <w:color w:val="auto"/>
                <w:sz w:val="28"/>
                <w:szCs w:val="28"/>
                <w:highlight w:val="none"/>
              </w:rPr>
            </w:pPr>
          </w:p>
        </w:tc>
        <w:tc>
          <w:tcPr>
            <w:tcW w:w="457" w:type="pct"/>
            <w:noWrap w:val="0"/>
            <w:vAlign w:val="center"/>
          </w:tcPr>
          <w:p w14:paraId="42FCB289">
            <w:pPr>
              <w:pStyle w:val="22"/>
              <w:spacing w:line="360" w:lineRule="atLeast"/>
              <w:ind w:firstLine="0" w:firstLineChars="0"/>
              <w:jc w:val="center"/>
              <w:rPr>
                <w:rFonts w:hint="eastAsia" w:ascii="仿宋" w:hAnsi="仿宋" w:eastAsia="仿宋" w:cs="仿宋"/>
                <w:color w:val="auto"/>
                <w:sz w:val="28"/>
                <w:szCs w:val="28"/>
                <w:highlight w:val="none"/>
              </w:rPr>
            </w:pPr>
          </w:p>
        </w:tc>
        <w:tc>
          <w:tcPr>
            <w:tcW w:w="2346" w:type="pct"/>
            <w:noWrap w:val="0"/>
            <w:vAlign w:val="center"/>
          </w:tcPr>
          <w:p w14:paraId="6749FC6F">
            <w:pPr>
              <w:spacing w:line="360" w:lineRule="atLeast"/>
              <w:rPr>
                <w:rFonts w:hint="eastAsia" w:ascii="仿宋" w:hAnsi="仿宋" w:eastAsia="仿宋" w:cs="仿宋"/>
                <w:color w:val="auto"/>
                <w:sz w:val="28"/>
                <w:szCs w:val="28"/>
                <w:highlight w:val="none"/>
              </w:rPr>
            </w:pPr>
          </w:p>
        </w:tc>
        <w:tc>
          <w:tcPr>
            <w:tcW w:w="814" w:type="pct"/>
            <w:noWrap w:val="0"/>
            <w:vAlign w:val="top"/>
          </w:tcPr>
          <w:p w14:paraId="708323C2">
            <w:pPr>
              <w:pStyle w:val="22"/>
              <w:spacing w:line="340" w:lineRule="atLeast"/>
              <w:ind w:firstLine="0" w:firstLineChars="0"/>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请见P（）</w:t>
            </w:r>
          </w:p>
        </w:tc>
      </w:tr>
      <w:tr w14:paraId="557EBE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5000" w:type="pct"/>
            <w:gridSpan w:val="5"/>
            <w:noWrap w:val="0"/>
            <w:vAlign w:val="center"/>
          </w:tcPr>
          <w:p w14:paraId="048C5735">
            <w:pPr>
              <w:pStyle w:val="22"/>
              <w:spacing w:line="340" w:lineRule="atLeast"/>
              <w:ind w:firstLine="0" w:firstLineChars="0"/>
              <w:jc w:val="center"/>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技术评分</w:t>
            </w:r>
          </w:p>
        </w:tc>
      </w:tr>
      <w:tr w14:paraId="201001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415" w:type="pct"/>
            <w:noWrap w:val="0"/>
            <w:vAlign w:val="center"/>
          </w:tcPr>
          <w:p w14:paraId="3203E8F2">
            <w:pPr>
              <w:pStyle w:val="22"/>
              <w:spacing w:line="340" w:lineRule="atLeast"/>
              <w:ind w:firstLine="0" w:firstLineChars="0"/>
              <w:jc w:val="center"/>
              <w:rPr>
                <w:rFonts w:hint="eastAsia" w:ascii="仿宋" w:hAnsi="仿宋" w:eastAsia="仿宋" w:cs="仿宋"/>
                <w:color w:val="auto"/>
                <w:sz w:val="28"/>
                <w:szCs w:val="28"/>
                <w:highlight w:val="none"/>
              </w:rPr>
            </w:pPr>
          </w:p>
        </w:tc>
        <w:tc>
          <w:tcPr>
            <w:tcW w:w="966" w:type="pct"/>
            <w:noWrap w:val="0"/>
            <w:vAlign w:val="center"/>
          </w:tcPr>
          <w:p w14:paraId="363C59F0">
            <w:pPr>
              <w:pStyle w:val="22"/>
              <w:spacing w:line="360" w:lineRule="atLeast"/>
              <w:ind w:firstLine="0" w:firstLineChars="0"/>
              <w:jc w:val="center"/>
              <w:rPr>
                <w:rFonts w:hint="eastAsia" w:ascii="仿宋" w:hAnsi="仿宋" w:eastAsia="仿宋" w:cs="仿宋"/>
                <w:color w:val="auto"/>
                <w:sz w:val="28"/>
                <w:szCs w:val="28"/>
                <w:highlight w:val="none"/>
              </w:rPr>
            </w:pPr>
          </w:p>
        </w:tc>
        <w:tc>
          <w:tcPr>
            <w:tcW w:w="457" w:type="pct"/>
            <w:noWrap w:val="0"/>
            <w:vAlign w:val="center"/>
          </w:tcPr>
          <w:p w14:paraId="023AA1E0">
            <w:pPr>
              <w:pStyle w:val="22"/>
              <w:spacing w:line="360" w:lineRule="atLeast"/>
              <w:ind w:firstLine="0" w:firstLineChars="0"/>
              <w:jc w:val="center"/>
              <w:rPr>
                <w:rFonts w:hint="eastAsia" w:ascii="仿宋" w:hAnsi="仿宋" w:eastAsia="仿宋" w:cs="仿宋"/>
                <w:color w:val="auto"/>
                <w:sz w:val="28"/>
                <w:szCs w:val="28"/>
                <w:highlight w:val="none"/>
              </w:rPr>
            </w:pPr>
          </w:p>
        </w:tc>
        <w:tc>
          <w:tcPr>
            <w:tcW w:w="2346" w:type="pct"/>
            <w:noWrap w:val="0"/>
            <w:vAlign w:val="center"/>
          </w:tcPr>
          <w:p w14:paraId="4B8B6AB0">
            <w:pPr>
              <w:spacing w:line="360" w:lineRule="atLeast"/>
              <w:rPr>
                <w:rFonts w:hint="eastAsia" w:ascii="仿宋" w:hAnsi="仿宋" w:eastAsia="仿宋" w:cs="仿宋"/>
                <w:color w:val="auto"/>
                <w:sz w:val="28"/>
                <w:szCs w:val="28"/>
                <w:highlight w:val="none"/>
              </w:rPr>
            </w:pPr>
          </w:p>
        </w:tc>
        <w:tc>
          <w:tcPr>
            <w:tcW w:w="814" w:type="pct"/>
            <w:noWrap w:val="0"/>
            <w:vAlign w:val="top"/>
          </w:tcPr>
          <w:p w14:paraId="2D72998A">
            <w:pPr>
              <w:pStyle w:val="22"/>
              <w:spacing w:line="340" w:lineRule="atLeast"/>
              <w:ind w:firstLine="0" w:firstLineChars="0"/>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请见P（）</w:t>
            </w:r>
          </w:p>
        </w:tc>
      </w:tr>
      <w:tr w14:paraId="71FAB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415" w:type="pct"/>
            <w:noWrap w:val="0"/>
            <w:vAlign w:val="center"/>
          </w:tcPr>
          <w:p w14:paraId="6BC58A71">
            <w:pPr>
              <w:pStyle w:val="22"/>
              <w:spacing w:line="340" w:lineRule="atLeast"/>
              <w:ind w:firstLine="0" w:firstLineChars="0"/>
              <w:jc w:val="center"/>
              <w:rPr>
                <w:rFonts w:hint="eastAsia" w:ascii="仿宋" w:hAnsi="仿宋" w:eastAsia="仿宋" w:cs="仿宋"/>
                <w:color w:val="auto"/>
                <w:sz w:val="28"/>
                <w:szCs w:val="28"/>
                <w:highlight w:val="none"/>
              </w:rPr>
            </w:pPr>
          </w:p>
        </w:tc>
        <w:tc>
          <w:tcPr>
            <w:tcW w:w="966" w:type="pct"/>
            <w:noWrap w:val="0"/>
            <w:vAlign w:val="center"/>
          </w:tcPr>
          <w:p w14:paraId="72EB7CE6">
            <w:pPr>
              <w:pStyle w:val="22"/>
              <w:spacing w:line="360" w:lineRule="atLeast"/>
              <w:ind w:firstLine="0" w:firstLineChars="0"/>
              <w:jc w:val="center"/>
              <w:rPr>
                <w:rFonts w:hint="eastAsia" w:ascii="仿宋" w:hAnsi="仿宋" w:eastAsia="仿宋" w:cs="仿宋"/>
                <w:color w:val="auto"/>
                <w:sz w:val="28"/>
                <w:szCs w:val="28"/>
                <w:highlight w:val="none"/>
              </w:rPr>
            </w:pPr>
          </w:p>
        </w:tc>
        <w:tc>
          <w:tcPr>
            <w:tcW w:w="457" w:type="pct"/>
            <w:noWrap w:val="0"/>
            <w:vAlign w:val="center"/>
          </w:tcPr>
          <w:p w14:paraId="0DC047BE">
            <w:pPr>
              <w:pStyle w:val="22"/>
              <w:spacing w:line="360" w:lineRule="atLeast"/>
              <w:ind w:firstLine="0" w:firstLineChars="0"/>
              <w:jc w:val="center"/>
              <w:rPr>
                <w:rFonts w:hint="eastAsia" w:ascii="仿宋" w:hAnsi="仿宋" w:eastAsia="仿宋" w:cs="仿宋"/>
                <w:color w:val="auto"/>
                <w:sz w:val="28"/>
                <w:szCs w:val="28"/>
                <w:highlight w:val="none"/>
              </w:rPr>
            </w:pPr>
          </w:p>
        </w:tc>
        <w:tc>
          <w:tcPr>
            <w:tcW w:w="2346" w:type="pct"/>
            <w:noWrap w:val="0"/>
            <w:vAlign w:val="center"/>
          </w:tcPr>
          <w:p w14:paraId="0FADCFD5">
            <w:pPr>
              <w:spacing w:line="360" w:lineRule="atLeast"/>
              <w:rPr>
                <w:rFonts w:hint="eastAsia" w:ascii="仿宋" w:hAnsi="仿宋" w:eastAsia="仿宋" w:cs="仿宋"/>
                <w:color w:val="auto"/>
                <w:sz w:val="28"/>
                <w:szCs w:val="28"/>
                <w:highlight w:val="none"/>
              </w:rPr>
            </w:pPr>
          </w:p>
        </w:tc>
        <w:tc>
          <w:tcPr>
            <w:tcW w:w="814" w:type="pct"/>
            <w:noWrap w:val="0"/>
            <w:vAlign w:val="top"/>
          </w:tcPr>
          <w:p w14:paraId="72FB98C0">
            <w:pPr>
              <w:pStyle w:val="22"/>
              <w:spacing w:line="340" w:lineRule="atLeast"/>
              <w:ind w:firstLine="0" w:firstLineChars="0"/>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请见P（）</w:t>
            </w:r>
          </w:p>
        </w:tc>
      </w:tr>
      <w:tr w14:paraId="382616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415" w:type="pct"/>
            <w:noWrap w:val="0"/>
            <w:vAlign w:val="center"/>
          </w:tcPr>
          <w:p w14:paraId="0213D2FB">
            <w:pPr>
              <w:pStyle w:val="22"/>
              <w:spacing w:line="340" w:lineRule="atLeast"/>
              <w:ind w:firstLine="0" w:firstLineChars="0"/>
              <w:jc w:val="center"/>
              <w:rPr>
                <w:rFonts w:hint="eastAsia" w:ascii="仿宋" w:hAnsi="仿宋" w:eastAsia="仿宋" w:cs="仿宋"/>
                <w:color w:val="auto"/>
                <w:sz w:val="28"/>
                <w:szCs w:val="28"/>
                <w:highlight w:val="none"/>
              </w:rPr>
            </w:pPr>
          </w:p>
        </w:tc>
        <w:tc>
          <w:tcPr>
            <w:tcW w:w="966" w:type="pct"/>
            <w:noWrap w:val="0"/>
            <w:vAlign w:val="center"/>
          </w:tcPr>
          <w:p w14:paraId="6E7F33DF">
            <w:pPr>
              <w:pStyle w:val="22"/>
              <w:spacing w:line="360" w:lineRule="atLeast"/>
              <w:ind w:firstLine="0" w:firstLineChars="0"/>
              <w:jc w:val="center"/>
              <w:rPr>
                <w:rFonts w:hint="eastAsia" w:ascii="仿宋" w:hAnsi="仿宋" w:eastAsia="仿宋" w:cs="仿宋"/>
                <w:color w:val="auto"/>
                <w:sz w:val="28"/>
                <w:szCs w:val="28"/>
                <w:highlight w:val="none"/>
              </w:rPr>
            </w:pPr>
          </w:p>
        </w:tc>
        <w:tc>
          <w:tcPr>
            <w:tcW w:w="457" w:type="pct"/>
            <w:noWrap w:val="0"/>
            <w:vAlign w:val="center"/>
          </w:tcPr>
          <w:p w14:paraId="6D58BB3F">
            <w:pPr>
              <w:pStyle w:val="22"/>
              <w:spacing w:line="360" w:lineRule="atLeast"/>
              <w:ind w:firstLine="0" w:firstLineChars="0"/>
              <w:jc w:val="center"/>
              <w:rPr>
                <w:rFonts w:hint="eastAsia" w:ascii="仿宋" w:hAnsi="仿宋" w:eastAsia="仿宋" w:cs="仿宋"/>
                <w:color w:val="auto"/>
                <w:sz w:val="28"/>
                <w:szCs w:val="28"/>
                <w:highlight w:val="none"/>
              </w:rPr>
            </w:pPr>
          </w:p>
        </w:tc>
        <w:tc>
          <w:tcPr>
            <w:tcW w:w="2346" w:type="pct"/>
            <w:noWrap w:val="0"/>
            <w:vAlign w:val="center"/>
          </w:tcPr>
          <w:p w14:paraId="19BF8842">
            <w:pPr>
              <w:spacing w:line="360" w:lineRule="atLeast"/>
              <w:rPr>
                <w:rFonts w:hint="eastAsia" w:ascii="仿宋" w:hAnsi="仿宋" w:eastAsia="仿宋" w:cs="仿宋"/>
                <w:color w:val="auto"/>
                <w:sz w:val="28"/>
                <w:szCs w:val="28"/>
                <w:highlight w:val="none"/>
              </w:rPr>
            </w:pPr>
          </w:p>
        </w:tc>
        <w:tc>
          <w:tcPr>
            <w:tcW w:w="814" w:type="pct"/>
            <w:noWrap w:val="0"/>
            <w:vAlign w:val="top"/>
          </w:tcPr>
          <w:p w14:paraId="2A308BB4">
            <w:pPr>
              <w:pStyle w:val="22"/>
              <w:spacing w:line="340" w:lineRule="atLeast"/>
              <w:ind w:firstLine="0" w:firstLineChars="0"/>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请见P（）</w:t>
            </w:r>
          </w:p>
        </w:tc>
      </w:tr>
      <w:tr w14:paraId="3F4CE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415" w:type="pct"/>
            <w:noWrap w:val="0"/>
            <w:vAlign w:val="center"/>
          </w:tcPr>
          <w:p w14:paraId="221127BC">
            <w:pPr>
              <w:pStyle w:val="22"/>
              <w:spacing w:line="340" w:lineRule="atLeast"/>
              <w:ind w:firstLine="0" w:firstLineChars="0"/>
              <w:jc w:val="center"/>
              <w:rPr>
                <w:rFonts w:hint="eastAsia" w:ascii="仿宋" w:hAnsi="仿宋" w:eastAsia="仿宋" w:cs="仿宋"/>
                <w:color w:val="auto"/>
                <w:sz w:val="28"/>
                <w:szCs w:val="28"/>
                <w:highlight w:val="none"/>
              </w:rPr>
            </w:pPr>
          </w:p>
        </w:tc>
        <w:tc>
          <w:tcPr>
            <w:tcW w:w="966" w:type="pct"/>
            <w:noWrap w:val="0"/>
            <w:vAlign w:val="center"/>
          </w:tcPr>
          <w:p w14:paraId="2A9FB9F0">
            <w:pPr>
              <w:pStyle w:val="22"/>
              <w:spacing w:line="360" w:lineRule="atLeast"/>
              <w:ind w:firstLine="0" w:firstLineChars="0"/>
              <w:jc w:val="center"/>
              <w:rPr>
                <w:rFonts w:hint="eastAsia" w:ascii="仿宋" w:hAnsi="仿宋" w:eastAsia="仿宋" w:cs="仿宋"/>
                <w:color w:val="auto"/>
                <w:sz w:val="28"/>
                <w:szCs w:val="28"/>
                <w:highlight w:val="none"/>
              </w:rPr>
            </w:pPr>
          </w:p>
        </w:tc>
        <w:tc>
          <w:tcPr>
            <w:tcW w:w="457" w:type="pct"/>
            <w:noWrap w:val="0"/>
            <w:vAlign w:val="center"/>
          </w:tcPr>
          <w:p w14:paraId="2359FBA5">
            <w:pPr>
              <w:pStyle w:val="22"/>
              <w:spacing w:line="360" w:lineRule="atLeast"/>
              <w:ind w:firstLine="0" w:firstLineChars="0"/>
              <w:jc w:val="center"/>
              <w:rPr>
                <w:rFonts w:hint="eastAsia" w:ascii="仿宋" w:hAnsi="仿宋" w:eastAsia="仿宋" w:cs="仿宋"/>
                <w:color w:val="auto"/>
                <w:sz w:val="28"/>
                <w:szCs w:val="28"/>
                <w:highlight w:val="none"/>
              </w:rPr>
            </w:pPr>
          </w:p>
        </w:tc>
        <w:tc>
          <w:tcPr>
            <w:tcW w:w="2346" w:type="pct"/>
            <w:noWrap w:val="0"/>
            <w:vAlign w:val="center"/>
          </w:tcPr>
          <w:p w14:paraId="7340ED0E">
            <w:pPr>
              <w:spacing w:line="360" w:lineRule="atLeast"/>
              <w:rPr>
                <w:rFonts w:hint="eastAsia" w:ascii="仿宋" w:hAnsi="仿宋" w:eastAsia="仿宋" w:cs="仿宋"/>
                <w:color w:val="auto"/>
                <w:sz w:val="28"/>
                <w:szCs w:val="28"/>
                <w:highlight w:val="none"/>
              </w:rPr>
            </w:pPr>
          </w:p>
        </w:tc>
        <w:tc>
          <w:tcPr>
            <w:tcW w:w="814" w:type="pct"/>
            <w:noWrap w:val="0"/>
            <w:vAlign w:val="top"/>
          </w:tcPr>
          <w:p w14:paraId="59A78DD7">
            <w:pPr>
              <w:pStyle w:val="22"/>
              <w:spacing w:line="340" w:lineRule="atLeast"/>
              <w:ind w:firstLine="0" w:firstLineChars="0"/>
              <w:jc w:val="center"/>
              <w:rPr>
                <w:rFonts w:hint="eastAsia" w:ascii="仿宋" w:hAnsi="仿宋" w:eastAsia="仿宋" w:cs="仿宋"/>
                <w:b/>
                <w:color w:val="auto"/>
                <w:sz w:val="28"/>
                <w:szCs w:val="28"/>
                <w:highlight w:val="none"/>
              </w:rPr>
            </w:pPr>
            <w:r>
              <w:rPr>
                <w:rFonts w:hint="eastAsia" w:ascii="仿宋" w:hAnsi="仿宋" w:eastAsia="仿宋" w:cs="仿宋"/>
                <w:color w:val="auto"/>
                <w:sz w:val="28"/>
                <w:szCs w:val="28"/>
                <w:highlight w:val="none"/>
              </w:rPr>
              <w:t>请见P（）</w:t>
            </w:r>
          </w:p>
        </w:tc>
      </w:tr>
      <w:tr w14:paraId="70749F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415" w:type="pct"/>
            <w:noWrap w:val="0"/>
            <w:vAlign w:val="center"/>
          </w:tcPr>
          <w:p w14:paraId="07F82B82">
            <w:pPr>
              <w:pStyle w:val="22"/>
              <w:spacing w:line="340" w:lineRule="atLeast"/>
              <w:ind w:firstLine="0" w:firstLineChars="0"/>
              <w:jc w:val="center"/>
              <w:rPr>
                <w:rFonts w:hint="eastAsia" w:ascii="仿宋" w:hAnsi="仿宋" w:eastAsia="仿宋" w:cs="仿宋"/>
                <w:color w:val="auto"/>
                <w:sz w:val="28"/>
                <w:szCs w:val="28"/>
                <w:highlight w:val="none"/>
              </w:rPr>
            </w:pPr>
          </w:p>
        </w:tc>
        <w:tc>
          <w:tcPr>
            <w:tcW w:w="966" w:type="pct"/>
            <w:noWrap w:val="0"/>
            <w:vAlign w:val="center"/>
          </w:tcPr>
          <w:p w14:paraId="3CBD523E">
            <w:pPr>
              <w:pStyle w:val="22"/>
              <w:spacing w:line="360" w:lineRule="atLeast"/>
              <w:ind w:firstLine="0" w:firstLineChars="0"/>
              <w:jc w:val="center"/>
              <w:rPr>
                <w:rFonts w:hint="eastAsia" w:ascii="仿宋" w:hAnsi="仿宋" w:eastAsia="仿宋" w:cs="仿宋"/>
                <w:color w:val="auto"/>
                <w:sz w:val="28"/>
                <w:szCs w:val="28"/>
                <w:highlight w:val="none"/>
              </w:rPr>
            </w:pPr>
          </w:p>
        </w:tc>
        <w:tc>
          <w:tcPr>
            <w:tcW w:w="457" w:type="pct"/>
            <w:noWrap w:val="0"/>
            <w:vAlign w:val="center"/>
          </w:tcPr>
          <w:p w14:paraId="4DB0DD95">
            <w:pPr>
              <w:pStyle w:val="22"/>
              <w:spacing w:line="360" w:lineRule="atLeast"/>
              <w:ind w:firstLine="0" w:firstLineChars="0"/>
              <w:jc w:val="center"/>
              <w:rPr>
                <w:rFonts w:hint="eastAsia" w:ascii="仿宋" w:hAnsi="仿宋" w:eastAsia="仿宋" w:cs="仿宋"/>
                <w:color w:val="auto"/>
                <w:sz w:val="28"/>
                <w:szCs w:val="28"/>
                <w:highlight w:val="none"/>
              </w:rPr>
            </w:pPr>
          </w:p>
        </w:tc>
        <w:tc>
          <w:tcPr>
            <w:tcW w:w="2346" w:type="pct"/>
            <w:noWrap w:val="0"/>
            <w:vAlign w:val="center"/>
          </w:tcPr>
          <w:p w14:paraId="18CC864E">
            <w:pPr>
              <w:spacing w:line="360" w:lineRule="atLeast"/>
              <w:rPr>
                <w:rFonts w:hint="eastAsia" w:ascii="仿宋" w:hAnsi="仿宋" w:eastAsia="仿宋" w:cs="仿宋"/>
                <w:color w:val="auto"/>
                <w:sz w:val="28"/>
                <w:szCs w:val="28"/>
                <w:highlight w:val="none"/>
              </w:rPr>
            </w:pPr>
          </w:p>
        </w:tc>
        <w:tc>
          <w:tcPr>
            <w:tcW w:w="814" w:type="pct"/>
            <w:noWrap w:val="0"/>
            <w:vAlign w:val="top"/>
          </w:tcPr>
          <w:p w14:paraId="5145A993">
            <w:pPr>
              <w:pStyle w:val="22"/>
              <w:spacing w:line="340" w:lineRule="atLeast"/>
              <w:ind w:firstLine="0" w:firstLineChars="0"/>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请见P（）</w:t>
            </w:r>
          </w:p>
        </w:tc>
      </w:tr>
    </w:tbl>
    <w:p w14:paraId="72B5BF7C">
      <w:pPr>
        <w:pStyle w:val="23"/>
        <w:rPr>
          <w:rFonts w:hint="eastAsia" w:ascii="仿宋" w:hAnsi="仿宋" w:eastAsia="仿宋" w:cs="仿宋"/>
          <w:color w:val="auto"/>
          <w:sz w:val="28"/>
          <w:szCs w:val="28"/>
          <w:highlight w:val="none"/>
        </w:rPr>
      </w:pPr>
    </w:p>
    <w:p w14:paraId="250CC31A">
      <w:pPr>
        <w:pStyle w:val="23"/>
        <w:rPr>
          <w:rFonts w:hint="eastAsia" w:ascii="仿宋" w:hAnsi="仿宋" w:eastAsia="仿宋" w:cs="仿宋"/>
          <w:color w:val="auto"/>
          <w:sz w:val="28"/>
          <w:szCs w:val="28"/>
          <w:highlight w:val="none"/>
        </w:rPr>
      </w:pPr>
    </w:p>
    <w:p w14:paraId="41A30B91">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注：</w:t>
      </w:r>
    </w:p>
    <w:p w14:paraId="1E8EC316">
      <w:pPr>
        <w:pStyle w:val="23"/>
        <w:rPr>
          <w:rFonts w:hint="default" w:ascii="仿宋" w:hAnsi="仿宋" w:eastAsia="仿宋" w:cs="仿宋"/>
          <w:color w:val="auto"/>
          <w:sz w:val="28"/>
          <w:szCs w:val="28"/>
          <w:highlight w:val="none"/>
          <w:lang w:val="en-US" w:eastAsia="zh-CN"/>
        </w:rPr>
        <w:sectPr>
          <w:pgSz w:w="11907" w:h="16840"/>
          <w:pgMar w:top="1559" w:right="1531" w:bottom="1712" w:left="1531" w:header="1089" w:footer="725" w:gutter="0"/>
          <w:pgNumType w:fmt="decimal"/>
          <w:cols w:space="720" w:num="1"/>
          <w:docGrid w:linePitch="523" w:charSpace="0"/>
        </w:sectPr>
      </w:pPr>
      <w:r>
        <w:rPr>
          <w:rFonts w:hint="eastAsia" w:ascii="仿宋" w:hAnsi="仿宋" w:eastAsia="仿宋" w:cs="仿宋"/>
          <w:color w:val="auto"/>
          <w:sz w:val="28"/>
          <w:szCs w:val="28"/>
          <w:highlight w:val="none"/>
        </w:rPr>
        <w:t>该表格为参考格式，投标人可按实际情况自行制订评分</w:t>
      </w:r>
      <w:r>
        <w:rPr>
          <w:rFonts w:hint="eastAsia" w:ascii="仿宋" w:hAnsi="仿宋" w:eastAsia="仿宋" w:cs="仿宋"/>
          <w:color w:val="auto"/>
          <w:sz w:val="28"/>
          <w:szCs w:val="28"/>
          <w:highlight w:val="none"/>
          <w:lang w:val="en-US" w:eastAsia="zh-CN"/>
        </w:rPr>
        <w:t>索引表。</w:t>
      </w:r>
    </w:p>
    <w:p w14:paraId="217AE88D">
      <w:pPr>
        <w:pStyle w:val="3"/>
        <w:keepNext/>
        <w:keepLines/>
        <w:pageBreakBefore w:val="0"/>
        <w:widowControl w:val="0"/>
        <w:numPr>
          <w:ilvl w:val="0"/>
          <w:numId w:val="0"/>
        </w:numPr>
        <w:kinsoku/>
        <w:wordWrap/>
        <w:overflowPunct/>
        <w:topLinePunct w:val="0"/>
        <w:autoSpaceDE/>
        <w:autoSpaceDN/>
        <w:bidi w:val="0"/>
        <w:adjustRightInd/>
        <w:snapToGrid/>
        <w:spacing w:before="0"/>
        <w:ind w:leftChars="0"/>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投标文件目录</w:t>
      </w:r>
    </w:p>
    <w:p w14:paraId="4E1242D1">
      <w:pPr>
        <w:pStyle w:val="16"/>
        <w:keepNext w:val="0"/>
        <w:keepLines w:val="0"/>
        <w:pageBreakBefore w:val="0"/>
        <w:widowControl/>
        <w:kinsoku/>
        <w:wordWrap/>
        <w:overflowPunct/>
        <w:topLinePunct w:val="0"/>
        <w:autoSpaceDE/>
        <w:autoSpaceDN/>
        <w:bidi w:val="0"/>
        <w:adjustRightInd/>
        <w:snapToGrid/>
        <w:spacing w:line="540" w:lineRule="exact"/>
        <w:ind w:firstLine="482"/>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一、投标函</w:t>
      </w:r>
    </w:p>
    <w:p w14:paraId="5EBA9216">
      <w:pPr>
        <w:pStyle w:val="16"/>
        <w:keepNext w:val="0"/>
        <w:keepLines w:val="0"/>
        <w:pageBreakBefore w:val="0"/>
        <w:widowControl/>
        <w:kinsoku/>
        <w:wordWrap/>
        <w:overflowPunct/>
        <w:topLinePunct w:val="0"/>
        <w:autoSpaceDE/>
        <w:autoSpaceDN/>
        <w:bidi w:val="0"/>
        <w:adjustRightInd/>
        <w:snapToGrid/>
        <w:spacing w:line="540" w:lineRule="exact"/>
        <w:ind w:firstLine="482"/>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二、法定代表人证明书</w:t>
      </w:r>
    </w:p>
    <w:p w14:paraId="0CAF5BB3">
      <w:pPr>
        <w:pStyle w:val="16"/>
        <w:keepNext w:val="0"/>
        <w:keepLines w:val="0"/>
        <w:pageBreakBefore w:val="0"/>
        <w:widowControl/>
        <w:kinsoku/>
        <w:wordWrap/>
        <w:overflowPunct/>
        <w:topLinePunct w:val="0"/>
        <w:autoSpaceDE/>
        <w:autoSpaceDN/>
        <w:bidi w:val="0"/>
        <w:adjustRightInd/>
        <w:snapToGrid/>
        <w:spacing w:line="540" w:lineRule="exact"/>
        <w:ind w:firstLine="482"/>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三、法定代表人授权书</w:t>
      </w:r>
    </w:p>
    <w:p w14:paraId="10E0B8F0">
      <w:pPr>
        <w:pStyle w:val="16"/>
        <w:keepNext w:val="0"/>
        <w:keepLines w:val="0"/>
        <w:pageBreakBefore w:val="0"/>
        <w:widowControl/>
        <w:kinsoku/>
        <w:wordWrap/>
        <w:overflowPunct/>
        <w:topLinePunct w:val="0"/>
        <w:autoSpaceDE/>
        <w:autoSpaceDN/>
        <w:bidi w:val="0"/>
        <w:adjustRightInd/>
        <w:snapToGrid/>
        <w:spacing w:line="540" w:lineRule="exact"/>
        <w:ind w:firstLine="482"/>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四、投标保证金</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如需</w:t>
      </w:r>
      <w:r>
        <w:rPr>
          <w:rFonts w:hint="eastAsia" w:ascii="仿宋" w:hAnsi="仿宋" w:eastAsia="仿宋" w:cs="仿宋"/>
          <w:color w:val="auto"/>
          <w:sz w:val="28"/>
          <w:szCs w:val="28"/>
          <w:highlight w:val="none"/>
          <w:lang w:eastAsia="zh-CN"/>
        </w:rPr>
        <w:t>）</w:t>
      </w:r>
    </w:p>
    <w:p w14:paraId="2189F53E">
      <w:pPr>
        <w:pStyle w:val="16"/>
        <w:keepNext w:val="0"/>
        <w:keepLines w:val="0"/>
        <w:pageBreakBefore w:val="0"/>
        <w:widowControl/>
        <w:kinsoku/>
        <w:wordWrap/>
        <w:overflowPunct/>
        <w:topLinePunct w:val="0"/>
        <w:autoSpaceDE/>
        <w:autoSpaceDN/>
        <w:bidi w:val="0"/>
        <w:adjustRightInd/>
        <w:snapToGrid/>
        <w:spacing w:line="540" w:lineRule="exact"/>
        <w:ind w:firstLine="482"/>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五、提供具有独立承担民事责任的能力的证明材料</w:t>
      </w:r>
    </w:p>
    <w:p w14:paraId="18EBA1DC">
      <w:pPr>
        <w:pStyle w:val="16"/>
        <w:keepNext w:val="0"/>
        <w:keepLines w:val="0"/>
        <w:pageBreakBefore w:val="0"/>
        <w:widowControl/>
        <w:kinsoku/>
        <w:wordWrap/>
        <w:overflowPunct/>
        <w:topLinePunct w:val="0"/>
        <w:autoSpaceDE/>
        <w:autoSpaceDN/>
        <w:bidi w:val="0"/>
        <w:adjustRightInd/>
        <w:snapToGrid/>
        <w:spacing w:line="540" w:lineRule="exact"/>
        <w:ind w:firstLine="482"/>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六、资格性审查要求的其他资质证明文件</w:t>
      </w:r>
    </w:p>
    <w:p w14:paraId="10DC79DC">
      <w:pPr>
        <w:pStyle w:val="16"/>
        <w:keepNext w:val="0"/>
        <w:keepLines w:val="0"/>
        <w:pageBreakBefore w:val="0"/>
        <w:widowControl/>
        <w:kinsoku/>
        <w:wordWrap/>
        <w:overflowPunct/>
        <w:topLinePunct w:val="0"/>
        <w:autoSpaceDE/>
        <w:autoSpaceDN/>
        <w:bidi w:val="0"/>
        <w:adjustRightInd/>
        <w:snapToGrid/>
        <w:spacing w:line="540" w:lineRule="exact"/>
        <w:ind w:firstLine="482"/>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七、承诺函</w:t>
      </w:r>
    </w:p>
    <w:p w14:paraId="7BBA0072">
      <w:pPr>
        <w:pStyle w:val="16"/>
        <w:keepNext w:val="0"/>
        <w:keepLines w:val="0"/>
        <w:pageBreakBefore w:val="0"/>
        <w:widowControl/>
        <w:kinsoku/>
        <w:wordWrap/>
        <w:overflowPunct/>
        <w:topLinePunct w:val="0"/>
        <w:autoSpaceDE/>
        <w:autoSpaceDN/>
        <w:bidi w:val="0"/>
        <w:adjustRightInd/>
        <w:snapToGrid/>
        <w:spacing w:line="540" w:lineRule="exact"/>
        <w:ind w:firstLine="482"/>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八、中小企业声明函</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如需</w:t>
      </w:r>
      <w:r>
        <w:rPr>
          <w:rFonts w:hint="eastAsia" w:ascii="仿宋" w:hAnsi="仿宋" w:eastAsia="仿宋" w:cs="仿宋"/>
          <w:color w:val="auto"/>
          <w:sz w:val="28"/>
          <w:szCs w:val="28"/>
          <w:highlight w:val="none"/>
          <w:lang w:eastAsia="zh-CN"/>
        </w:rPr>
        <w:t>）</w:t>
      </w:r>
    </w:p>
    <w:p w14:paraId="7FB65CF6">
      <w:pPr>
        <w:pStyle w:val="16"/>
        <w:keepNext w:val="0"/>
        <w:keepLines w:val="0"/>
        <w:pageBreakBefore w:val="0"/>
        <w:widowControl/>
        <w:kinsoku/>
        <w:wordWrap/>
        <w:overflowPunct/>
        <w:topLinePunct w:val="0"/>
        <w:autoSpaceDE/>
        <w:autoSpaceDN/>
        <w:bidi w:val="0"/>
        <w:adjustRightInd/>
        <w:snapToGrid/>
        <w:spacing w:line="540" w:lineRule="exact"/>
        <w:ind w:firstLine="482"/>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九、监狱企业</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如需</w:t>
      </w:r>
      <w:r>
        <w:rPr>
          <w:rFonts w:hint="eastAsia" w:ascii="仿宋" w:hAnsi="仿宋" w:eastAsia="仿宋" w:cs="仿宋"/>
          <w:color w:val="auto"/>
          <w:sz w:val="28"/>
          <w:szCs w:val="28"/>
          <w:highlight w:val="none"/>
          <w:lang w:eastAsia="zh-CN"/>
        </w:rPr>
        <w:t>）</w:t>
      </w:r>
    </w:p>
    <w:p w14:paraId="1AB57CC8">
      <w:pPr>
        <w:pStyle w:val="16"/>
        <w:keepNext w:val="0"/>
        <w:keepLines w:val="0"/>
        <w:pageBreakBefore w:val="0"/>
        <w:widowControl/>
        <w:kinsoku/>
        <w:wordWrap/>
        <w:overflowPunct/>
        <w:topLinePunct w:val="0"/>
        <w:autoSpaceDE/>
        <w:autoSpaceDN/>
        <w:bidi w:val="0"/>
        <w:adjustRightInd/>
        <w:snapToGrid/>
        <w:spacing w:line="540" w:lineRule="exact"/>
        <w:ind w:firstLine="482"/>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十、残疾人福利性单位声明函</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如需</w:t>
      </w:r>
      <w:r>
        <w:rPr>
          <w:rFonts w:hint="eastAsia" w:ascii="仿宋" w:hAnsi="仿宋" w:eastAsia="仿宋" w:cs="仿宋"/>
          <w:color w:val="auto"/>
          <w:sz w:val="28"/>
          <w:szCs w:val="28"/>
          <w:highlight w:val="none"/>
          <w:lang w:eastAsia="zh-CN"/>
        </w:rPr>
        <w:t>）</w:t>
      </w:r>
    </w:p>
    <w:p w14:paraId="7C758917">
      <w:pPr>
        <w:pStyle w:val="16"/>
        <w:keepNext w:val="0"/>
        <w:keepLines w:val="0"/>
        <w:pageBreakBefore w:val="0"/>
        <w:widowControl/>
        <w:kinsoku/>
        <w:wordWrap/>
        <w:overflowPunct/>
        <w:topLinePunct w:val="0"/>
        <w:autoSpaceDE/>
        <w:autoSpaceDN/>
        <w:bidi w:val="0"/>
        <w:adjustRightInd/>
        <w:snapToGrid/>
        <w:spacing w:line="540" w:lineRule="exact"/>
        <w:ind w:firstLine="482"/>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十一、联合体共同投标协议书</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如需</w:t>
      </w:r>
      <w:r>
        <w:rPr>
          <w:rFonts w:hint="eastAsia" w:ascii="仿宋" w:hAnsi="仿宋" w:eastAsia="仿宋" w:cs="仿宋"/>
          <w:color w:val="auto"/>
          <w:sz w:val="28"/>
          <w:szCs w:val="28"/>
          <w:highlight w:val="none"/>
          <w:lang w:eastAsia="zh-CN"/>
        </w:rPr>
        <w:t>）</w:t>
      </w:r>
    </w:p>
    <w:p w14:paraId="77E9972A">
      <w:pPr>
        <w:pStyle w:val="16"/>
        <w:keepNext w:val="0"/>
        <w:keepLines w:val="0"/>
        <w:pageBreakBefore w:val="0"/>
        <w:widowControl/>
        <w:kinsoku/>
        <w:wordWrap/>
        <w:overflowPunct/>
        <w:topLinePunct w:val="0"/>
        <w:autoSpaceDE/>
        <w:autoSpaceDN/>
        <w:bidi w:val="0"/>
        <w:adjustRightInd/>
        <w:snapToGrid/>
        <w:spacing w:line="540" w:lineRule="exact"/>
        <w:ind w:firstLine="482"/>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十二、投标人业绩情况表</w:t>
      </w:r>
    </w:p>
    <w:p w14:paraId="40FD4222">
      <w:pPr>
        <w:pStyle w:val="16"/>
        <w:keepNext w:val="0"/>
        <w:keepLines w:val="0"/>
        <w:pageBreakBefore w:val="0"/>
        <w:widowControl/>
        <w:kinsoku/>
        <w:wordWrap/>
        <w:overflowPunct/>
        <w:topLinePunct w:val="0"/>
        <w:autoSpaceDE/>
        <w:autoSpaceDN/>
        <w:bidi w:val="0"/>
        <w:adjustRightInd/>
        <w:snapToGrid/>
        <w:spacing w:line="540" w:lineRule="exact"/>
        <w:ind w:firstLine="482"/>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十三、技术和服务要求响应表</w:t>
      </w:r>
    </w:p>
    <w:p w14:paraId="27277906">
      <w:pPr>
        <w:pStyle w:val="16"/>
        <w:keepNext w:val="0"/>
        <w:keepLines w:val="0"/>
        <w:pageBreakBefore w:val="0"/>
        <w:widowControl/>
        <w:kinsoku/>
        <w:wordWrap/>
        <w:overflowPunct/>
        <w:topLinePunct w:val="0"/>
        <w:autoSpaceDE/>
        <w:autoSpaceDN/>
        <w:bidi w:val="0"/>
        <w:adjustRightInd/>
        <w:snapToGrid/>
        <w:spacing w:line="540" w:lineRule="exact"/>
        <w:ind w:firstLine="482"/>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十四、商务条件响应表</w:t>
      </w:r>
    </w:p>
    <w:p w14:paraId="5919B705">
      <w:pPr>
        <w:pStyle w:val="16"/>
        <w:keepNext w:val="0"/>
        <w:keepLines w:val="0"/>
        <w:pageBreakBefore w:val="0"/>
        <w:widowControl/>
        <w:kinsoku/>
        <w:wordWrap/>
        <w:overflowPunct/>
        <w:topLinePunct w:val="0"/>
        <w:autoSpaceDE/>
        <w:autoSpaceDN/>
        <w:bidi w:val="0"/>
        <w:adjustRightInd/>
        <w:snapToGrid/>
        <w:spacing w:line="540" w:lineRule="exact"/>
        <w:ind w:firstLine="482"/>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十五、履约进度计划表</w:t>
      </w:r>
    </w:p>
    <w:p w14:paraId="0926C531">
      <w:pPr>
        <w:pStyle w:val="16"/>
        <w:keepNext w:val="0"/>
        <w:keepLines w:val="0"/>
        <w:pageBreakBefore w:val="0"/>
        <w:widowControl/>
        <w:kinsoku/>
        <w:wordWrap/>
        <w:overflowPunct/>
        <w:topLinePunct w:val="0"/>
        <w:autoSpaceDE/>
        <w:autoSpaceDN/>
        <w:bidi w:val="0"/>
        <w:adjustRightInd/>
        <w:snapToGrid/>
        <w:spacing w:line="540" w:lineRule="exact"/>
        <w:ind w:firstLine="482"/>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十六、各类证明材料</w:t>
      </w:r>
    </w:p>
    <w:p w14:paraId="50A4AF23">
      <w:pPr>
        <w:pStyle w:val="16"/>
        <w:keepNext w:val="0"/>
        <w:keepLines w:val="0"/>
        <w:pageBreakBefore w:val="0"/>
        <w:widowControl/>
        <w:kinsoku/>
        <w:wordWrap/>
        <w:overflowPunct/>
        <w:topLinePunct w:val="0"/>
        <w:autoSpaceDE/>
        <w:autoSpaceDN/>
        <w:bidi w:val="0"/>
        <w:adjustRightInd/>
        <w:snapToGrid/>
        <w:spacing w:line="540" w:lineRule="exact"/>
        <w:ind w:firstLine="482"/>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十七、采购代理服务费支付承诺书</w:t>
      </w:r>
    </w:p>
    <w:p w14:paraId="2537CDC7">
      <w:pPr>
        <w:pStyle w:val="16"/>
        <w:keepNext w:val="0"/>
        <w:keepLines w:val="0"/>
        <w:pageBreakBefore w:val="0"/>
        <w:widowControl/>
        <w:kinsoku/>
        <w:wordWrap/>
        <w:overflowPunct/>
        <w:topLinePunct w:val="0"/>
        <w:autoSpaceDE/>
        <w:autoSpaceDN/>
        <w:bidi w:val="0"/>
        <w:adjustRightInd/>
        <w:snapToGrid/>
        <w:spacing w:line="540" w:lineRule="exact"/>
        <w:ind w:firstLine="482"/>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十八、需要采购人提供的附加条件</w:t>
      </w:r>
    </w:p>
    <w:p w14:paraId="0BD101B0">
      <w:pPr>
        <w:pStyle w:val="16"/>
        <w:keepNext w:val="0"/>
        <w:keepLines w:val="0"/>
        <w:pageBreakBefore w:val="0"/>
        <w:widowControl/>
        <w:kinsoku/>
        <w:wordWrap/>
        <w:overflowPunct/>
        <w:topLinePunct w:val="0"/>
        <w:autoSpaceDE/>
        <w:autoSpaceDN/>
        <w:bidi w:val="0"/>
        <w:adjustRightInd/>
        <w:snapToGrid/>
        <w:spacing w:line="540" w:lineRule="exact"/>
        <w:ind w:firstLine="482"/>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十九、询问函、质疑函、投诉书格式</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如需</w:t>
      </w:r>
      <w:r>
        <w:rPr>
          <w:rFonts w:hint="eastAsia" w:ascii="仿宋" w:hAnsi="仿宋" w:eastAsia="仿宋" w:cs="仿宋"/>
          <w:color w:val="auto"/>
          <w:sz w:val="28"/>
          <w:szCs w:val="28"/>
          <w:highlight w:val="none"/>
          <w:lang w:eastAsia="zh-CN"/>
        </w:rPr>
        <w:t>）</w:t>
      </w:r>
    </w:p>
    <w:p w14:paraId="28ACBF52">
      <w:pPr>
        <w:pStyle w:val="16"/>
        <w:keepNext w:val="0"/>
        <w:keepLines w:val="0"/>
        <w:pageBreakBefore w:val="0"/>
        <w:widowControl/>
        <w:kinsoku/>
        <w:wordWrap/>
        <w:overflowPunct/>
        <w:topLinePunct w:val="0"/>
        <w:autoSpaceDE/>
        <w:autoSpaceDN/>
        <w:bidi w:val="0"/>
        <w:adjustRightInd/>
        <w:snapToGrid/>
        <w:spacing w:line="540" w:lineRule="exact"/>
        <w:ind w:firstLine="482"/>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二十、</w:t>
      </w:r>
      <w:r>
        <w:rPr>
          <w:rFonts w:hint="eastAsia" w:ascii="仿宋" w:hAnsi="仿宋" w:eastAsia="仿宋" w:cs="仿宋"/>
          <w:color w:val="auto"/>
          <w:sz w:val="28"/>
          <w:szCs w:val="28"/>
          <w:highlight w:val="none"/>
          <w:lang w:val="en-US" w:eastAsia="zh-CN"/>
        </w:rPr>
        <w:t>总体方案</w:t>
      </w:r>
    </w:p>
    <w:p w14:paraId="0B5C108F">
      <w:pPr>
        <w:pStyle w:val="16"/>
        <w:keepNext w:val="0"/>
        <w:keepLines w:val="0"/>
        <w:pageBreakBefore w:val="0"/>
        <w:widowControl/>
        <w:kinsoku/>
        <w:wordWrap/>
        <w:overflowPunct/>
        <w:topLinePunct w:val="0"/>
        <w:autoSpaceDE/>
        <w:autoSpaceDN/>
        <w:bidi w:val="0"/>
        <w:adjustRightInd/>
        <w:snapToGrid/>
        <w:spacing w:line="540" w:lineRule="exact"/>
        <w:ind w:firstLine="482"/>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二十</w:t>
      </w:r>
      <w:r>
        <w:rPr>
          <w:rFonts w:hint="eastAsia" w:ascii="仿宋" w:hAnsi="仿宋" w:eastAsia="仿宋" w:cs="仿宋"/>
          <w:color w:val="auto"/>
          <w:sz w:val="28"/>
          <w:szCs w:val="28"/>
          <w:highlight w:val="none"/>
          <w:lang w:val="en-US" w:eastAsia="zh-CN"/>
        </w:rPr>
        <w:t>一</w:t>
      </w:r>
      <w:r>
        <w:rPr>
          <w:rFonts w:hint="eastAsia" w:ascii="仿宋" w:hAnsi="仿宋" w:eastAsia="仿宋" w:cs="仿宋"/>
          <w:color w:val="auto"/>
          <w:sz w:val="28"/>
          <w:szCs w:val="28"/>
          <w:highlight w:val="none"/>
        </w:rPr>
        <w:t>、采购投标（响应）担保函</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如需</w:t>
      </w:r>
      <w:r>
        <w:rPr>
          <w:rFonts w:hint="eastAsia" w:ascii="仿宋" w:hAnsi="仿宋" w:eastAsia="仿宋" w:cs="仿宋"/>
          <w:color w:val="auto"/>
          <w:sz w:val="28"/>
          <w:szCs w:val="28"/>
          <w:highlight w:val="none"/>
          <w:lang w:eastAsia="zh-CN"/>
        </w:rPr>
        <w:t>）</w:t>
      </w:r>
    </w:p>
    <w:p w14:paraId="3B5F3045">
      <w:pPr>
        <w:pStyle w:val="16"/>
        <w:keepNext w:val="0"/>
        <w:keepLines w:val="0"/>
        <w:pageBreakBefore w:val="0"/>
        <w:widowControl/>
        <w:kinsoku/>
        <w:wordWrap/>
        <w:overflowPunct/>
        <w:topLinePunct w:val="0"/>
        <w:autoSpaceDE/>
        <w:autoSpaceDN/>
        <w:bidi w:val="0"/>
        <w:adjustRightInd/>
        <w:snapToGrid/>
        <w:spacing w:line="540" w:lineRule="exact"/>
        <w:ind w:firstLine="482"/>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二十二、</w:t>
      </w:r>
      <w:r>
        <w:rPr>
          <w:rFonts w:hint="eastAsia" w:ascii="仿宋" w:hAnsi="仿宋" w:eastAsia="仿宋" w:cs="仿宋"/>
          <w:color w:val="auto"/>
          <w:sz w:val="28"/>
          <w:szCs w:val="28"/>
          <w:highlight w:val="none"/>
        </w:rPr>
        <w:t>采购履约担保函、采购合同履约保险凭证</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如需</w:t>
      </w:r>
      <w:r>
        <w:rPr>
          <w:rFonts w:hint="eastAsia" w:ascii="仿宋" w:hAnsi="仿宋" w:eastAsia="仿宋" w:cs="仿宋"/>
          <w:color w:val="auto"/>
          <w:sz w:val="28"/>
          <w:szCs w:val="28"/>
          <w:highlight w:val="none"/>
          <w:lang w:eastAsia="zh-CN"/>
        </w:rPr>
        <w:t>）</w:t>
      </w:r>
    </w:p>
    <w:p w14:paraId="22FE9B9D">
      <w:pPr>
        <w:pStyle w:val="16"/>
        <w:keepNext w:val="0"/>
        <w:keepLines w:val="0"/>
        <w:pageBreakBefore w:val="0"/>
        <w:widowControl/>
        <w:kinsoku/>
        <w:wordWrap/>
        <w:overflowPunct/>
        <w:topLinePunct w:val="0"/>
        <w:autoSpaceDE/>
        <w:autoSpaceDN/>
        <w:bidi w:val="0"/>
        <w:adjustRightInd/>
        <w:snapToGrid/>
        <w:spacing w:line="540" w:lineRule="exact"/>
        <w:ind w:firstLine="482"/>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二十三、资格声明函</w:t>
      </w:r>
    </w:p>
    <w:p w14:paraId="00092D76">
      <w:pPr>
        <w:pStyle w:val="4"/>
        <w:bidi w:val="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附件1：投标函</w:t>
      </w:r>
    </w:p>
    <w:p w14:paraId="2BCF3CD3">
      <w:pPr>
        <w:pStyle w:val="4"/>
        <w:bidi w:val="0"/>
        <w:ind w:firstLine="3373" w:firstLineChars="1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投标函</w:t>
      </w:r>
    </w:p>
    <w:p w14:paraId="3BBEC668">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致：</w:t>
      </w:r>
      <w:r>
        <w:rPr>
          <w:rFonts w:hint="eastAsia" w:ascii="仿宋" w:hAnsi="仿宋" w:eastAsia="仿宋" w:cs="仿宋"/>
          <w:color w:val="auto"/>
          <w:sz w:val="28"/>
          <w:szCs w:val="28"/>
          <w:highlight w:val="none"/>
          <w:u w:val="single"/>
        </w:rPr>
        <w:t>东莞市德晟招标有限公司</w:t>
      </w:r>
    </w:p>
    <w:p w14:paraId="3C7E08CA">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你方组织的</w:t>
      </w:r>
      <w:r>
        <w:rPr>
          <w:rFonts w:hint="eastAsia" w:ascii="仿宋" w:hAnsi="仿宋" w:eastAsia="仿宋" w:cs="仿宋"/>
          <w:color w:val="auto"/>
          <w:sz w:val="28"/>
          <w:szCs w:val="28"/>
          <w:highlight w:val="none"/>
          <w:u w:val="single"/>
        </w:rPr>
        <w:t>“</w:t>
      </w:r>
      <w:r>
        <w:rPr>
          <w:rFonts w:hint="eastAsia" w:ascii="仿宋" w:hAnsi="仿宋" w:eastAsia="仿宋" w:cs="仿宋"/>
          <w:color w:val="auto"/>
          <w:sz w:val="28"/>
          <w:szCs w:val="28"/>
          <w:highlight w:val="none"/>
          <w:u w:val="single"/>
          <w:lang w:eastAsia="zh-CN"/>
        </w:rPr>
        <w:t>东莞市常平镇中心小学食堂食材采购项目</w:t>
      </w:r>
      <w:r>
        <w:rPr>
          <w:rFonts w:hint="eastAsia" w:ascii="仿宋" w:hAnsi="仿宋" w:eastAsia="仿宋" w:cs="仿宋"/>
          <w:color w:val="auto"/>
          <w:sz w:val="28"/>
          <w:szCs w:val="28"/>
          <w:highlight w:val="none"/>
          <w:u w:val="single"/>
        </w:rPr>
        <w:t>”</w:t>
      </w:r>
      <w:r>
        <w:rPr>
          <w:rFonts w:hint="eastAsia" w:ascii="仿宋" w:hAnsi="仿宋" w:eastAsia="仿宋" w:cs="仿宋"/>
          <w:color w:val="auto"/>
          <w:sz w:val="28"/>
          <w:szCs w:val="28"/>
          <w:highlight w:val="none"/>
        </w:rPr>
        <w:t>项目的招标[采购项目编号为：</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]，我方愿参与投标。</w:t>
      </w:r>
    </w:p>
    <w:p w14:paraId="280E7AD7">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我方确认收到贵方提供的</w:t>
      </w:r>
      <w:r>
        <w:rPr>
          <w:rFonts w:hint="eastAsia" w:ascii="仿宋" w:hAnsi="仿宋" w:eastAsia="仿宋" w:cs="仿宋"/>
          <w:color w:val="auto"/>
          <w:sz w:val="28"/>
          <w:szCs w:val="28"/>
          <w:highlight w:val="none"/>
          <w:u w:val="single"/>
        </w:rPr>
        <w:t>“</w:t>
      </w:r>
      <w:r>
        <w:rPr>
          <w:rFonts w:hint="eastAsia" w:ascii="仿宋" w:hAnsi="仿宋" w:eastAsia="仿宋" w:cs="仿宋"/>
          <w:color w:val="auto"/>
          <w:sz w:val="28"/>
          <w:szCs w:val="28"/>
          <w:highlight w:val="none"/>
          <w:u w:val="single"/>
          <w:lang w:eastAsia="zh-CN"/>
        </w:rPr>
        <w:t>东莞市常平镇中心小学食堂食材采购项目</w:t>
      </w:r>
      <w:r>
        <w:rPr>
          <w:rFonts w:hint="eastAsia" w:ascii="仿宋" w:hAnsi="仿宋" w:eastAsia="仿宋" w:cs="仿宋"/>
          <w:color w:val="auto"/>
          <w:sz w:val="28"/>
          <w:szCs w:val="28"/>
          <w:highlight w:val="none"/>
          <w:u w:val="single"/>
        </w:rPr>
        <w:t>”</w:t>
      </w:r>
      <w:r>
        <w:rPr>
          <w:rFonts w:hint="eastAsia" w:ascii="仿宋" w:hAnsi="仿宋" w:eastAsia="仿宋" w:cs="仿宋"/>
          <w:color w:val="auto"/>
          <w:sz w:val="28"/>
          <w:szCs w:val="28"/>
          <w:highlight w:val="none"/>
        </w:rPr>
        <w:t>项目的招标文件的全部内容。</w:t>
      </w:r>
    </w:p>
    <w:p w14:paraId="0D894CC4">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14:paraId="6A273D00">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single"/>
          <w:lang w:eastAsia="zh-CN"/>
        </w:rPr>
        <w:t>（</w:t>
      </w:r>
      <w:r>
        <w:rPr>
          <w:rFonts w:hint="eastAsia" w:ascii="仿宋" w:hAnsi="仿宋" w:eastAsia="仿宋" w:cs="仿宋"/>
          <w:color w:val="auto"/>
          <w:sz w:val="28"/>
          <w:szCs w:val="28"/>
          <w:highlight w:val="none"/>
          <w:u w:val="single"/>
        </w:rPr>
        <w:t>投标人名称</w:t>
      </w:r>
      <w:r>
        <w:rPr>
          <w:rFonts w:hint="eastAsia" w:ascii="仿宋" w:hAnsi="仿宋" w:eastAsia="仿宋" w:cs="仿宋"/>
          <w:color w:val="auto"/>
          <w:sz w:val="28"/>
          <w:szCs w:val="28"/>
          <w:highlight w:val="none"/>
          <w:u w:val="single"/>
          <w:lang w:eastAsia="zh-CN"/>
        </w:rPr>
        <w:t>）</w:t>
      </w:r>
      <w:r>
        <w:rPr>
          <w:rFonts w:hint="eastAsia" w:ascii="仿宋" w:hAnsi="仿宋" w:eastAsia="仿宋" w:cs="仿宋"/>
          <w:color w:val="auto"/>
          <w:sz w:val="28"/>
          <w:szCs w:val="28"/>
          <w:highlight w:val="none"/>
        </w:rPr>
        <w:t>作为投标人正式授权</w:t>
      </w:r>
      <w:r>
        <w:rPr>
          <w:rFonts w:hint="eastAsia" w:ascii="仿宋" w:hAnsi="仿宋" w:eastAsia="仿宋" w:cs="仿宋"/>
          <w:color w:val="auto"/>
          <w:sz w:val="28"/>
          <w:szCs w:val="28"/>
          <w:highlight w:val="none"/>
          <w:u w:val="single"/>
          <w:lang w:eastAsia="zh-CN"/>
        </w:rPr>
        <w:t>（</w:t>
      </w:r>
      <w:r>
        <w:rPr>
          <w:rFonts w:hint="eastAsia" w:ascii="仿宋" w:hAnsi="仿宋" w:eastAsia="仿宋" w:cs="仿宋"/>
          <w:color w:val="auto"/>
          <w:sz w:val="28"/>
          <w:szCs w:val="28"/>
          <w:highlight w:val="none"/>
          <w:u w:val="single"/>
        </w:rPr>
        <w:t>授权代表全名</w:t>
      </w:r>
      <w:r>
        <w:rPr>
          <w:rFonts w:hint="eastAsia" w:ascii="仿宋" w:hAnsi="仿宋" w:eastAsia="仿宋" w:cs="仿宋"/>
          <w:color w:val="auto"/>
          <w:sz w:val="28"/>
          <w:szCs w:val="28"/>
          <w:highlight w:val="none"/>
          <w:u w:val="single"/>
          <w:lang w:eastAsia="zh-CN"/>
        </w:rPr>
        <w:t>，</w:t>
      </w:r>
      <w:r>
        <w:rPr>
          <w:rFonts w:hint="eastAsia" w:ascii="仿宋" w:hAnsi="仿宋" w:eastAsia="仿宋" w:cs="仿宋"/>
          <w:color w:val="auto"/>
          <w:sz w:val="28"/>
          <w:szCs w:val="28"/>
          <w:highlight w:val="none"/>
          <w:u w:val="single"/>
        </w:rPr>
        <w:t>职务</w:t>
      </w:r>
      <w:r>
        <w:rPr>
          <w:rFonts w:hint="eastAsia" w:ascii="仿宋" w:hAnsi="仿宋" w:eastAsia="仿宋" w:cs="仿宋"/>
          <w:color w:val="auto"/>
          <w:sz w:val="28"/>
          <w:szCs w:val="28"/>
          <w:highlight w:val="none"/>
          <w:u w:val="single"/>
          <w:lang w:eastAsia="zh-CN"/>
        </w:rPr>
        <w:t>）</w:t>
      </w:r>
      <w:r>
        <w:rPr>
          <w:rFonts w:hint="eastAsia" w:ascii="仿宋" w:hAnsi="仿宋" w:eastAsia="仿宋" w:cs="仿宋"/>
          <w:color w:val="auto"/>
          <w:sz w:val="28"/>
          <w:szCs w:val="28"/>
          <w:highlight w:val="none"/>
        </w:rPr>
        <w:t>代表我方全权处理有关本投标的一切事宜。</w:t>
      </w:r>
    </w:p>
    <w:p w14:paraId="327CABD2">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我方已完全明白招标文件的所有条款要求，并申明如下：</w:t>
      </w:r>
    </w:p>
    <w:p w14:paraId="1444CC50">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（一）按招标文件提供的全部货物与相关服务的投标总价详见《开标一览表》。</w:t>
      </w:r>
    </w:p>
    <w:p w14:paraId="7930C0DB">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二）本投标文件的有效期为从提交投标（响应）文件的截止之日起90日历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14:paraId="0A5DEB4E">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（三）我方明白并同意，在规定的开标日之后，投标有效期之内撤回投标或中标后不按规定与采购人签订合同或不提交履约保证金</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 xml:space="preserve"> 则贵方将不予退还投标保证金。</w:t>
      </w:r>
    </w:p>
    <w:p w14:paraId="38DC45FC">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（四）我方愿意向贵方提供任何与本项报价有关的数据、情况和技术资料。若贵方需要，我方愿意提供我方作出的一切承诺的证明材料。</w:t>
      </w:r>
    </w:p>
    <w:p w14:paraId="39E9B54D">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（五）我方理解贵方不一定接受最低投标价或任何贵方可能收到的投标。</w:t>
      </w:r>
    </w:p>
    <w:p w14:paraId="10B34153">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（六）我方如果中标，将保证履行招标文件及其澄清、修改文件（如果有）中的全部责任和义务，按质、按量、按期完成《采购需求》及《合同书》中的全部任务。</w:t>
      </w:r>
    </w:p>
    <w:p w14:paraId="3DA9B916">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（七）我方作为法律、财务和运作上独立于采购人、采购代理机构的投标人，在此保证所提交的所有文件和全部说明是真实的和正确的。</w:t>
      </w:r>
    </w:p>
    <w:p w14:paraId="2FC6D24B">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（八）我方投标报价已包含应向知识产权所有权人支付的所有相关税费，并保证采购人在中国使用我方提供的货物时，如有第三方提出侵犯其知识产权主张的，责任由我方承担。</w:t>
      </w:r>
    </w:p>
    <w:p w14:paraId="2CF0E138">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（九）我方接受采购人委托向贵方支付代理服务费，项目总报价已包含代理服务费，如果被确定为中标</w:t>
      </w:r>
      <w:r>
        <w:rPr>
          <w:rFonts w:hint="eastAsia" w:ascii="仿宋" w:hAnsi="仿宋" w:eastAsia="仿宋" w:cs="仿宋"/>
          <w:color w:val="auto"/>
          <w:sz w:val="28"/>
          <w:szCs w:val="28"/>
          <w:highlight w:val="none"/>
          <w:lang w:eastAsia="zh-CN"/>
        </w:rPr>
        <w:t>人</w:t>
      </w:r>
      <w:r>
        <w:rPr>
          <w:rFonts w:hint="eastAsia" w:ascii="仿宋" w:hAnsi="仿宋" w:eastAsia="仿宋" w:cs="仿宋"/>
          <w:color w:val="auto"/>
          <w:sz w:val="28"/>
          <w:szCs w:val="28"/>
          <w:highlight w:val="none"/>
        </w:rPr>
        <w:t>，承诺向贵方足额支付。（若采购人支付代理服务费，则此条不适用）</w:t>
      </w:r>
    </w:p>
    <w:p w14:paraId="34101913">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（十）我方与其他投标人不存在单位负责人为同一人或者存在直接控股、管理关系。</w:t>
      </w:r>
    </w:p>
    <w:p w14:paraId="0CBCCAE6">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（十一）我方承诺未为本项目提供整体设计、规范编制或者项目管理、监理、检测等服务。</w:t>
      </w:r>
    </w:p>
    <w:p w14:paraId="4C2F7621">
      <w:pPr>
        <w:pStyle w:val="16"/>
        <w:spacing w:line="360" w:lineRule="auto"/>
        <w:ind w:firstLine="480"/>
        <w:outlineLvl w:val="2"/>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（十二）我方未被列入法院失信被执行人名单中。</w:t>
      </w:r>
    </w:p>
    <w:p w14:paraId="68CF034D">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（十三）我方承诺遵守《中华人民共和国劳动合同法》有关规定和《中华人民共和国妇女权益保障法》中关于“劳动和社会保障权益”的有关要求。</w:t>
      </w:r>
    </w:p>
    <w:p w14:paraId="6165B3FE">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（十四）我方具备《中华人民共和国政府采购法》第二十二条规定的条件，承诺如下：</w:t>
      </w:r>
    </w:p>
    <w:p w14:paraId="4B536350">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我方参加本项目采购活动前3年内在经营活动中没有以下违法记录，或因违法经营被禁止参加政府采购活动的期限已届满：因违法经营受到刑事处罚或者责令停产停业、吊销许可证或者执照、较大数额罚款等行政处罚。</w:t>
      </w:r>
    </w:p>
    <w:p w14:paraId="4694EF5C">
      <w:pPr>
        <w:pStyle w:val="16"/>
        <w:spacing w:line="360" w:lineRule="auto"/>
        <w:ind w:firstLine="480"/>
        <w:outlineLvl w:val="3"/>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（2）我方符合法律、行政法规规定的其他条件。</w:t>
      </w:r>
    </w:p>
    <w:p w14:paraId="32998D31">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以上内容如有虚假或与事实不符的，评标委员会可将我方做无效投标处理，我方愿意承担相应的法律责任。</w:t>
      </w:r>
    </w:p>
    <w:p w14:paraId="1EFE85E1">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（十五）我方对在本函及投标文件中所作的所有承诺承担法律责任。</w:t>
      </w:r>
    </w:p>
    <w:p w14:paraId="4A833247">
      <w:pPr>
        <w:pStyle w:val="16"/>
        <w:spacing w:line="360" w:lineRule="auto"/>
        <w:ind w:firstLine="480"/>
        <w:outlineLvl w:val="2"/>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（十六）所有与本招标有关的函件请发往下列地址：</w:t>
      </w:r>
    </w:p>
    <w:p w14:paraId="2AD338BC">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地 </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址：__________________邮政编码：__________________</w:t>
      </w:r>
    </w:p>
    <w:p w14:paraId="55F8BBF9">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电 </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话：__________________</w:t>
      </w:r>
    </w:p>
    <w:p w14:paraId="404643A0">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传</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 xml:space="preserve"> 真：_______________电子邮箱：__________________</w:t>
      </w:r>
    </w:p>
    <w:p w14:paraId="7626B3E7">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代表姓名：_______________职 </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务：__________________</w:t>
      </w:r>
    </w:p>
    <w:p w14:paraId="21031906">
      <w:pPr>
        <w:pStyle w:val="16"/>
        <w:spacing w:line="360" w:lineRule="auto"/>
        <w:rPr>
          <w:rFonts w:hint="eastAsia" w:ascii="仿宋" w:hAnsi="仿宋" w:eastAsia="仿宋" w:cs="仿宋"/>
          <w:color w:val="auto"/>
          <w:sz w:val="28"/>
          <w:szCs w:val="28"/>
          <w:highlight w:val="none"/>
        </w:rPr>
      </w:pPr>
    </w:p>
    <w:p w14:paraId="517CE485">
      <w:pPr>
        <w:pStyle w:val="16"/>
        <w:spacing w:line="48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投标人法定代表人（或法定代表人授权代表）签字或盖章：__________________</w:t>
      </w:r>
    </w:p>
    <w:p w14:paraId="6711EBA3">
      <w:pPr>
        <w:pStyle w:val="16"/>
        <w:spacing w:line="48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投标人名称（盖章）：__________________</w:t>
      </w:r>
    </w:p>
    <w:p w14:paraId="1C2394D1">
      <w:pPr>
        <w:pStyle w:val="16"/>
        <w:spacing w:line="48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日期： </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 xml:space="preserve"> 月</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 xml:space="preserve"> 日</w:t>
      </w:r>
    </w:p>
    <w:p w14:paraId="79998DA3">
      <w:pP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br w:type="page"/>
      </w:r>
    </w:p>
    <w:p w14:paraId="404D7F86">
      <w:pPr>
        <w:pStyle w:val="4"/>
        <w:bidi w:val="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附件2：法定代表人证明书（需附上身份证复印件）</w:t>
      </w:r>
    </w:p>
    <w:p w14:paraId="689045B7">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（投标人可使用下述格式，也可使用广东省工商行政管理局统一印制的法定代表人证明书格式）</w:t>
      </w:r>
    </w:p>
    <w:p w14:paraId="2B8BF0C8">
      <w:pPr>
        <w:pStyle w:val="16"/>
        <w:spacing w:line="360" w:lineRule="auto"/>
        <w:jc w:val="center"/>
        <w:outlineLvl w:val="3"/>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法定代表人证明书</w:t>
      </w:r>
    </w:p>
    <w:p w14:paraId="678AB074">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_____________现任我单位_____________职务，为法定代表人，特此证明。</w:t>
      </w:r>
    </w:p>
    <w:p w14:paraId="12CD24EC">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有效期限：__________________</w:t>
      </w:r>
    </w:p>
    <w:p w14:paraId="039F3837">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附：代表人性别：_____年龄：_________ 身份证号码：__________________</w:t>
      </w:r>
    </w:p>
    <w:p w14:paraId="7706A503">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注册号码：____________________企业类型：____________________________</w:t>
      </w:r>
    </w:p>
    <w:p w14:paraId="6DC403A2">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经营范围：__________________________</w:t>
      </w:r>
    </w:p>
    <w:p w14:paraId="2CC9D7FD">
      <w:pPr>
        <w:pStyle w:val="16"/>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投标人名称（盖章）：__________________</w:t>
      </w:r>
    </w:p>
    <w:p w14:paraId="1B544562">
      <w:pPr>
        <w:pStyle w:val="16"/>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地址：__________________</w:t>
      </w:r>
    </w:p>
    <w:p w14:paraId="3BBA1115">
      <w:pPr>
        <w:pStyle w:val="16"/>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法定代表人（签字或盖章）：__________________</w:t>
      </w:r>
    </w:p>
    <w:p w14:paraId="1930C844">
      <w:pPr>
        <w:pStyle w:val="16"/>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职务：__________________</w:t>
      </w:r>
    </w:p>
    <w:p w14:paraId="644641B8">
      <w:pPr>
        <w:pStyle w:val="16"/>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日期： 年 月 日</w:t>
      </w:r>
    </w:p>
    <w:p w14:paraId="65212F34">
      <w:pP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br w:type="page"/>
      </w:r>
    </w:p>
    <w:p w14:paraId="338608CC">
      <w:pPr>
        <w:pStyle w:val="4"/>
        <w:bidi w:val="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附件3</w:t>
      </w:r>
      <w:r>
        <w:rPr>
          <w:rFonts w:hint="eastAsia" w:ascii="仿宋" w:hAnsi="仿宋" w:eastAsia="仿宋" w:cs="仿宋"/>
          <w:color w:val="auto"/>
          <w:sz w:val="28"/>
          <w:szCs w:val="28"/>
          <w:highlight w:val="none"/>
        </w:rPr>
        <w:t>：法定代表人授权书</w:t>
      </w:r>
      <w:r>
        <w:rPr>
          <w:rFonts w:hint="eastAsia" w:ascii="仿宋" w:hAnsi="仿宋" w:eastAsia="仿宋" w:cs="仿宋"/>
          <w:color w:val="auto"/>
          <w:sz w:val="28"/>
          <w:szCs w:val="28"/>
          <w:highlight w:val="none"/>
          <w:lang w:val="en-US" w:eastAsia="zh-CN"/>
        </w:rPr>
        <w:t>（需附上法人及授权代表身份证复印件）</w:t>
      </w:r>
    </w:p>
    <w:p w14:paraId="22ACF4C5">
      <w:pPr>
        <w:pStyle w:val="16"/>
        <w:spacing w:line="360" w:lineRule="auto"/>
        <w:jc w:val="center"/>
        <w:outlineLvl w:val="3"/>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法定代表人授权书格式</w:t>
      </w:r>
    </w:p>
    <w:p w14:paraId="0364DA16">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（对于银行、保险、电信、邮政、铁路等行业以及获得总公司投标授权的分公司，可以提供投标分支机构负责人授权书）</w:t>
      </w:r>
    </w:p>
    <w:p w14:paraId="0BF336F7">
      <w:pPr>
        <w:pStyle w:val="16"/>
        <w:spacing w:line="360" w:lineRule="auto"/>
        <w:jc w:val="center"/>
        <w:outlineLvl w:val="3"/>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法定代表人授权书</w:t>
      </w:r>
    </w:p>
    <w:p w14:paraId="709EB07B">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致：东莞市德晟招标有限公司</w:t>
      </w:r>
    </w:p>
    <w:p w14:paraId="73CD1D27">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本授权书声明：________是注册于 </w:t>
      </w:r>
      <w:r>
        <w:rPr>
          <w:rFonts w:hint="eastAsia" w:ascii="仿宋" w:hAnsi="仿宋" w:eastAsia="仿宋" w:cs="仿宋"/>
          <w:color w:val="auto"/>
          <w:sz w:val="28"/>
          <w:szCs w:val="28"/>
          <w:highlight w:val="none"/>
          <w:u w:val="single"/>
        </w:rPr>
        <w:t>（国家或地区）</w:t>
      </w:r>
      <w:r>
        <w:rPr>
          <w:rFonts w:hint="eastAsia" w:ascii="仿宋" w:hAnsi="仿宋" w:eastAsia="仿宋" w:cs="仿宋"/>
          <w:color w:val="auto"/>
          <w:sz w:val="28"/>
          <w:szCs w:val="28"/>
          <w:highlight w:val="none"/>
        </w:rPr>
        <w:t>的</w:t>
      </w:r>
      <w:r>
        <w:rPr>
          <w:rFonts w:hint="eastAsia" w:ascii="仿宋" w:hAnsi="仿宋" w:eastAsia="仿宋" w:cs="仿宋"/>
          <w:color w:val="auto"/>
          <w:sz w:val="28"/>
          <w:szCs w:val="28"/>
          <w:highlight w:val="none"/>
          <w:u w:val="single"/>
        </w:rPr>
        <w:t>（投标人名称）</w:t>
      </w:r>
      <w:r>
        <w:rPr>
          <w:rFonts w:hint="eastAsia" w:ascii="仿宋" w:hAnsi="仿宋" w:eastAsia="仿宋" w:cs="仿宋"/>
          <w:color w:val="auto"/>
          <w:sz w:val="28"/>
          <w:szCs w:val="28"/>
          <w:highlight w:val="none"/>
        </w:rPr>
        <w:t xml:space="preserve">的法定代表人，现任________职务，有效证件号码：________________。现授权 </w:t>
      </w:r>
      <w:r>
        <w:rPr>
          <w:rFonts w:hint="eastAsia" w:ascii="仿宋" w:hAnsi="仿宋" w:eastAsia="仿宋" w:cs="仿宋"/>
          <w:color w:val="auto"/>
          <w:sz w:val="28"/>
          <w:szCs w:val="28"/>
          <w:highlight w:val="none"/>
          <w:u w:val="single"/>
        </w:rPr>
        <w:t>（姓名、职务）</w:t>
      </w:r>
      <w:r>
        <w:rPr>
          <w:rFonts w:hint="eastAsia" w:ascii="仿宋" w:hAnsi="仿宋" w:eastAsia="仿宋" w:cs="仿宋"/>
          <w:color w:val="auto"/>
          <w:sz w:val="28"/>
          <w:szCs w:val="28"/>
          <w:highlight w:val="none"/>
        </w:rPr>
        <w:t xml:space="preserve"> 作为我公司的全权代理人，就“</w:t>
      </w:r>
      <w:r>
        <w:rPr>
          <w:rFonts w:hint="eastAsia" w:ascii="仿宋" w:hAnsi="仿宋" w:eastAsia="仿宋" w:cs="仿宋"/>
          <w:color w:val="auto"/>
          <w:sz w:val="28"/>
          <w:szCs w:val="28"/>
          <w:highlight w:val="none"/>
          <w:lang w:eastAsia="zh-CN"/>
        </w:rPr>
        <w:t>东莞市常平镇中心小学食堂食材采购项目</w:t>
      </w:r>
      <w:r>
        <w:rPr>
          <w:rFonts w:hint="eastAsia" w:ascii="仿宋" w:hAnsi="仿宋" w:eastAsia="仿宋" w:cs="仿宋"/>
          <w:color w:val="auto"/>
          <w:sz w:val="28"/>
          <w:szCs w:val="28"/>
          <w:highlight w:val="none"/>
        </w:rPr>
        <w:t>”项目采购[采购项目编号</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]的投标和合同执行，以我方的名义处理一切与之有关的事宜。</w:t>
      </w:r>
    </w:p>
    <w:p w14:paraId="5267B686">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本授权书于________年________月________日签字生效，特此声明。</w:t>
      </w:r>
    </w:p>
    <w:p w14:paraId="640CD599">
      <w:pPr>
        <w:pStyle w:val="16"/>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投标人（盖章）：__________________</w:t>
      </w:r>
    </w:p>
    <w:p w14:paraId="1F1E3D1B">
      <w:pPr>
        <w:pStyle w:val="16"/>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地址：__________________</w:t>
      </w:r>
    </w:p>
    <w:p w14:paraId="5C727A5D">
      <w:pPr>
        <w:pStyle w:val="16"/>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法定代表人（签字或盖章）：__________________</w:t>
      </w:r>
    </w:p>
    <w:p w14:paraId="2F6887C5">
      <w:pPr>
        <w:pStyle w:val="16"/>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职务：__________________</w:t>
      </w:r>
    </w:p>
    <w:p w14:paraId="2A341C62">
      <w:pPr>
        <w:pStyle w:val="16"/>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被授权人（签字或盖章）：__________________</w:t>
      </w:r>
    </w:p>
    <w:p w14:paraId="326D2204">
      <w:pPr>
        <w:pStyle w:val="16"/>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职务：__________________</w:t>
      </w:r>
    </w:p>
    <w:p w14:paraId="0C63A1DA">
      <w:pPr>
        <w:pStyle w:val="16"/>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日期：</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 xml:space="preserve"> 年</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 xml:space="preserve"> 月</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 xml:space="preserve"> 日</w:t>
      </w:r>
    </w:p>
    <w:p w14:paraId="2988C7C2">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w:t>
      </w:r>
    </w:p>
    <w:p w14:paraId="6A060D13">
      <w:pPr>
        <w:pStyle w:val="4"/>
        <w:bidi w:val="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附件4</w:t>
      </w:r>
      <w:r>
        <w:rPr>
          <w:rFonts w:hint="eastAsia" w:ascii="仿宋" w:hAnsi="仿宋" w:eastAsia="仿宋" w:cs="仿宋"/>
          <w:color w:val="auto"/>
          <w:sz w:val="28"/>
          <w:szCs w:val="28"/>
          <w:highlight w:val="none"/>
        </w:rPr>
        <w:t>：投标保证金</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如需</w:t>
      </w:r>
      <w:r>
        <w:rPr>
          <w:rFonts w:hint="eastAsia" w:ascii="仿宋" w:hAnsi="仿宋" w:eastAsia="仿宋" w:cs="仿宋"/>
          <w:color w:val="auto"/>
          <w:sz w:val="28"/>
          <w:szCs w:val="28"/>
          <w:highlight w:val="none"/>
          <w:lang w:eastAsia="zh-CN"/>
        </w:rPr>
        <w:t>）</w:t>
      </w:r>
    </w:p>
    <w:p w14:paraId="4D6C13E3">
      <w:pPr>
        <w:pStyle w:val="16"/>
        <w:spacing w:line="360" w:lineRule="auto"/>
        <w:jc w:val="center"/>
        <w:outlineLvl w:val="3"/>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投标保证金</w:t>
      </w:r>
    </w:p>
    <w:p w14:paraId="67CA355A">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采购文件要求递交投标保证金的，投标人应在此提供保证金的凭证的复印件。</w:t>
      </w:r>
    </w:p>
    <w:p w14:paraId="5BB22BDF">
      <w:pP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br w:type="page"/>
      </w:r>
    </w:p>
    <w:p w14:paraId="7E64F52E">
      <w:pPr>
        <w:pStyle w:val="4"/>
        <w:bidi w:val="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附件5</w:t>
      </w:r>
      <w:r>
        <w:rPr>
          <w:rFonts w:hint="eastAsia" w:ascii="仿宋" w:hAnsi="仿宋" w:eastAsia="仿宋" w:cs="仿宋"/>
          <w:color w:val="auto"/>
          <w:sz w:val="28"/>
          <w:szCs w:val="28"/>
          <w:highlight w:val="none"/>
        </w:rPr>
        <w:t>：提供具有独立承担民事责任的能力的证明材料</w:t>
      </w:r>
    </w:p>
    <w:p w14:paraId="403D1B69">
      <w:pPr>
        <w:pStyle w:val="16"/>
        <w:spacing w:line="360" w:lineRule="auto"/>
        <w:jc w:val="center"/>
        <w:outlineLvl w:val="3"/>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提供具有独立承担民事责任的能力的证明材料</w:t>
      </w:r>
    </w:p>
    <w:p w14:paraId="6B854DB8">
      <w:pP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br w:type="page"/>
      </w:r>
    </w:p>
    <w:p w14:paraId="5F18E287">
      <w:pPr>
        <w:pStyle w:val="4"/>
        <w:bidi w:val="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附件6</w:t>
      </w:r>
      <w:r>
        <w:rPr>
          <w:rFonts w:hint="eastAsia" w:ascii="仿宋" w:hAnsi="仿宋" w:eastAsia="仿宋" w:cs="仿宋"/>
          <w:color w:val="auto"/>
          <w:sz w:val="28"/>
          <w:szCs w:val="28"/>
          <w:highlight w:val="none"/>
        </w:rPr>
        <w:t>：资格性审查要求的其他资质证明文件</w:t>
      </w:r>
    </w:p>
    <w:p w14:paraId="274D0532">
      <w:pPr>
        <w:pStyle w:val="16"/>
        <w:spacing w:line="360" w:lineRule="auto"/>
        <w:jc w:val="center"/>
        <w:outlineLvl w:val="3"/>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资格性审查要求的其他资质证明文件</w:t>
      </w:r>
    </w:p>
    <w:p w14:paraId="30321599">
      <w:pP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br w:type="page"/>
      </w:r>
    </w:p>
    <w:p w14:paraId="6557109F">
      <w:pPr>
        <w:pStyle w:val="4"/>
        <w:bidi w:val="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附件7</w:t>
      </w:r>
      <w:r>
        <w:rPr>
          <w:rFonts w:hint="eastAsia" w:ascii="仿宋" w:hAnsi="仿宋" w:eastAsia="仿宋" w:cs="仿宋"/>
          <w:color w:val="auto"/>
          <w:sz w:val="28"/>
          <w:szCs w:val="28"/>
          <w:highlight w:val="none"/>
        </w:rPr>
        <w:t>：承诺函</w:t>
      </w:r>
    </w:p>
    <w:p w14:paraId="1B5FF309">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（对于采购需求写明“提供承诺”的条款，供应商可参照以下格式提供承诺）</w:t>
      </w:r>
    </w:p>
    <w:p w14:paraId="2DED605B">
      <w:pPr>
        <w:pStyle w:val="16"/>
        <w:spacing w:line="360" w:lineRule="auto"/>
        <w:jc w:val="center"/>
        <w:outlineLvl w:val="3"/>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承诺函</w:t>
      </w:r>
    </w:p>
    <w:p w14:paraId="65297650">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致：</w:t>
      </w:r>
      <w:r>
        <w:rPr>
          <w:rFonts w:hint="eastAsia" w:ascii="仿宋" w:hAnsi="仿宋" w:eastAsia="仿宋" w:cs="仿宋"/>
          <w:color w:val="auto"/>
          <w:sz w:val="28"/>
          <w:szCs w:val="28"/>
          <w:highlight w:val="none"/>
          <w:lang w:eastAsia="zh-CN"/>
        </w:rPr>
        <w:t>东莞市第二看守所</w:t>
      </w:r>
    </w:p>
    <w:p w14:paraId="686D08F7">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对于__________________项目（项目编号：__________________），我方郑重承诺如下：</w:t>
      </w:r>
    </w:p>
    <w:p w14:paraId="04EDAE93">
      <w:pPr>
        <w:pStyle w:val="16"/>
        <w:spacing w:line="360" w:lineRule="auto"/>
        <w:ind w:firstLine="48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如中标/成交，我方承诺严格落实采购文件以下条款：</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建议逐条复制采购文件相关条款原文</w:t>
      </w:r>
      <w:r>
        <w:rPr>
          <w:rFonts w:hint="eastAsia" w:ascii="仿宋" w:hAnsi="仿宋" w:eastAsia="仿宋" w:cs="仿宋"/>
          <w:color w:val="auto"/>
          <w:sz w:val="28"/>
          <w:szCs w:val="28"/>
          <w:highlight w:val="none"/>
          <w:lang w:eastAsia="zh-CN"/>
        </w:rPr>
        <w:t>）</w:t>
      </w:r>
    </w:p>
    <w:p w14:paraId="27F2C6DA">
      <w:pPr>
        <w:pStyle w:val="16"/>
        <w:spacing w:line="360" w:lineRule="auto"/>
        <w:ind w:firstLine="480"/>
        <w:outlineLvl w:val="2"/>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（一）星号条款</w:t>
      </w:r>
    </w:p>
    <w:p w14:paraId="03DDB2E6">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p>
    <w:p w14:paraId="6C8CAC3B">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w:t>
      </w:r>
    </w:p>
    <w:p w14:paraId="1E8E1C08">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w:t>
      </w:r>
    </w:p>
    <w:p w14:paraId="26D263CA">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w:t>
      </w:r>
    </w:p>
    <w:p w14:paraId="7BE70F68">
      <w:pPr>
        <w:pStyle w:val="16"/>
        <w:spacing w:line="360" w:lineRule="auto"/>
        <w:ind w:firstLine="480"/>
        <w:outlineLvl w:val="2"/>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（二）三角号条款</w:t>
      </w:r>
    </w:p>
    <w:p w14:paraId="798FF0A6">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p>
    <w:p w14:paraId="06C467A9">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w:t>
      </w:r>
    </w:p>
    <w:p w14:paraId="4642AAB6">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w:t>
      </w:r>
    </w:p>
    <w:p w14:paraId="077A8F52">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w:t>
      </w:r>
    </w:p>
    <w:p w14:paraId="72C95588">
      <w:pPr>
        <w:pStyle w:val="16"/>
        <w:spacing w:line="360" w:lineRule="auto"/>
        <w:ind w:firstLine="480"/>
        <w:outlineLvl w:val="2"/>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（三）非星号、非三角号条款</w:t>
      </w:r>
    </w:p>
    <w:p w14:paraId="6A503F75">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p>
    <w:p w14:paraId="3ABD3F0B">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w:t>
      </w:r>
    </w:p>
    <w:p w14:paraId="6B5091CA">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w:t>
      </w:r>
    </w:p>
    <w:p w14:paraId="0CDAA586">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rPr>
        <w:br w:type="textWrapping"/>
      </w:r>
    </w:p>
    <w:p w14:paraId="4ED2A6AE">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特此承诺。</w:t>
      </w:r>
    </w:p>
    <w:p w14:paraId="3C0293D7">
      <w:pPr>
        <w:pStyle w:val="6"/>
        <w:spacing w:line="360" w:lineRule="auto"/>
        <w:rPr>
          <w:rFonts w:hint="eastAsia" w:ascii="仿宋" w:hAnsi="仿宋" w:eastAsia="仿宋" w:cs="仿宋"/>
          <w:color w:val="auto"/>
          <w:sz w:val="28"/>
          <w:szCs w:val="28"/>
          <w:highlight w:val="none"/>
        </w:rPr>
      </w:pPr>
    </w:p>
    <w:p w14:paraId="4509C1BB">
      <w:pPr>
        <w:pStyle w:val="6"/>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投标人名称（加盖公章）：</w:t>
      </w:r>
    </w:p>
    <w:p w14:paraId="36ED5DC4">
      <w:pPr>
        <w:pStyle w:val="6"/>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投标人法定代表人或受委托人（签名或盖私章）：</w:t>
      </w:r>
    </w:p>
    <w:p w14:paraId="6D577945">
      <w:pPr>
        <w:pStyle w:val="6"/>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日       期：</w:t>
      </w:r>
    </w:p>
    <w:p w14:paraId="1A07427F">
      <w:pP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br w:type="page"/>
      </w:r>
    </w:p>
    <w:p w14:paraId="67217C45">
      <w:pPr>
        <w:pStyle w:val="4"/>
        <w:bidi w:val="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附件8</w:t>
      </w:r>
      <w:r>
        <w:rPr>
          <w:rFonts w:hint="eastAsia" w:ascii="仿宋" w:hAnsi="仿宋" w:eastAsia="仿宋" w:cs="仿宋"/>
          <w:color w:val="auto"/>
          <w:sz w:val="28"/>
          <w:szCs w:val="28"/>
          <w:highlight w:val="none"/>
        </w:rPr>
        <w:t>：中小企业声明函</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如需</w:t>
      </w:r>
      <w:r>
        <w:rPr>
          <w:rFonts w:hint="eastAsia" w:ascii="仿宋" w:hAnsi="仿宋" w:eastAsia="仿宋" w:cs="仿宋"/>
          <w:color w:val="auto"/>
          <w:sz w:val="28"/>
          <w:szCs w:val="28"/>
          <w:highlight w:val="none"/>
          <w:lang w:eastAsia="zh-CN"/>
        </w:rPr>
        <w:t>）</w:t>
      </w:r>
    </w:p>
    <w:p w14:paraId="788D7EBD">
      <w:pPr>
        <w:pStyle w:val="16"/>
        <w:spacing w:line="360" w:lineRule="auto"/>
        <w:ind w:firstLine="280" w:firstLineChars="1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中小企业声明函（所投产品制造商为中小企业时提交本函，所属行业应符合采购文件中明确的本项目所属行业）</w:t>
      </w:r>
    </w:p>
    <w:p w14:paraId="74C9FAD8">
      <w:pPr>
        <w:pStyle w:val="16"/>
        <w:spacing w:line="360" w:lineRule="auto"/>
        <w:jc w:val="center"/>
        <w:outlineLvl w:val="3"/>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中小企业声明函（货物）</w:t>
      </w:r>
    </w:p>
    <w:p w14:paraId="30C8ADCF">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本公司（联合体）郑重声明，根据《政府采购促进中小企业发展管理办法》（财库﹝2020﹞46 号）的规定，本公司（联合体）参加</w:t>
      </w:r>
      <w:r>
        <w:rPr>
          <w:rFonts w:hint="eastAsia" w:ascii="仿宋" w:hAnsi="仿宋" w:eastAsia="仿宋" w:cs="仿宋"/>
          <w:color w:val="auto"/>
          <w:sz w:val="28"/>
          <w:szCs w:val="28"/>
          <w:highlight w:val="none"/>
          <w:u w:val="single"/>
        </w:rPr>
        <w:t>（单位名称）</w:t>
      </w:r>
      <w:r>
        <w:rPr>
          <w:rFonts w:hint="eastAsia" w:ascii="仿宋" w:hAnsi="仿宋" w:eastAsia="仿宋" w:cs="仿宋"/>
          <w:color w:val="auto"/>
          <w:sz w:val="28"/>
          <w:szCs w:val="28"/>
          <w:highlight w:val="none"/>
        </w:rPr>
        <w:t>的</w:t>
      </w:r>
      <w:r>
        <w:rPr>
          <w:rFonts w:hint="eastAsia" w:ascii="仿宋" w:hAnsi="仿宋" w:eastAsia="仿宋" w:cs="仿宋"/>
          <w:color w:val="auto"/>
          <w:sz w:val="28"/>
          <w:szCs w:val="28"/>
          <w:highlight w:val="none"/>
          <w:u w:val="single"/>
        </w:rPr>
        <w:t>（项目名称）</w:t>
      </w:r>
      <w:r>
        <w:rPr>
          <w:rFonts w:hint="eastAsia" w:ascii="仿宋" w:hAnsi="仿宋" w:eastAsia="仿宋" w:cs="仿宋"/>
          <w:color w:val="auto"/>
          <w:sz w:val="28"/>
          <w:szCs w:val="28"/>
          <w:highlight w:val="none"/>
        </w:rPr>
        <w:t>采购活动，提供的货物全部由符合政策要求的中小企业制造。相关企业（含联合体中的中小企业、签订分包意向协议的中小企业）的具体情况如下：</w:t>
      </w:r>
    </w:p>
    <w:p w14:paraId="0E7F5BA3">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u w:val="single"/>
        </w:rPr>
        <w:t>（标的名称）</w:t>
      </w:r>
      <w:r>
        <w:rPr>
          <w:rFonts w:hint="eastAsia" w:ascii="仿宋" w:hAnsi="仿宋" w:eastAsia="仿宋" w:cs="仿宋"/>
          <w:color w:val="auto"/>
          <w:sz w:val="28"/>
          <w:szCs w:val="28"/>
          <w:highlight w:val="none"/>
        </w:rPr>
        <w:t>，属于</w:t>
      </w:r>
      <w:r>
        <w:rPr>
          <w:rFonts w:hint="eastAsia" w:ascii="仿宋" w:hAnsi="仿宋" w:eastAsia="仿宋" w:cs="仿宋"/>
          <w:color w:val="auto"/>
          <w:sz w:val="28"/>
          <w:szCs w:val="28"/>
          <w:highlight w:val="none"/>
          <w:u w:val="single"/>
        </w:rPr>
        <w:t>（采购文件中明确的所属行业）</w:t>
      </w:r>
      <w:r>
        <w:rPr>
          <w:rFonts w:hint="eastAsia" w:ascii="仿宋" w:hAnsi="仿宋" w:eastAsia="仿宋" w:cs="仿宋"/>
          <w:color w:val="auto"/>
          <w:sz w:val="28"/>
          <w:szCs w:val="28"/>
          <w:highlight w:val="none"/>
        </w:rPr>
        <w:t>行业；制造商为</w:t>
      </w:r>
      <w:r>
        <w:rPr>
          <w:rFonts w:hint="eastAsia" w:ascii="仿宋" w:hAnsi="仿宋" w:eastAsia="仿宋" w:cs="仿宋"/>
          <w:color w:val="auto"/>
          <w:sz w:val="28"/>
          <w:szCs w:val="28"/>
          <w:highlight w:val="none"/>
          <w:u w:val="single"/>
        </w:rPr>
        <w:t>（企业名称）</w:t>
      </w:r>
      <w:r>
        <w:rPr>
          <w:rFonts w:hint="eastAsia" w:ascii="仿宋" w:hAnsi="仿宋" w:eastAsia="仿宋" w:cs="仿宋"/>
          <w:color w:val="auto"/>
          <w:sz w:val="28"/>
          <w:szCs w:val="28"/>
          <w:highlight w:val="none"/>
        </w:rPr>
        <w:t>，从业人员__________________人，营业收入为__________________万元，资产总额为__________________万元1，属于</w:t>
      </w:r>
      <w:r>
        <w:rPr>
          <w:rFonts w:hint="eastAsia" w:ascii="仿宋" w:hAnsi="仿宋" w:eastAsia="仿宋" w:cs="仿宋"/>
          <w:color w:val="auto"/>
          <w:sz w:val="28"/>
          <w:szCs w:val="28"/>
          <w:highlight w:val="none"/>
          <w:u w:val="single"/>
        </w:rPr>
        <w:t>（中型企业、小型企业、微型企业）</w:t>
      </w:r>
      <w:r>
        <w:rPr>
          <w:rFonts w:hint="eastAsia" w:ascii="仿宋" w:hAnsi="仿宋" w:eastAsia="仿宋" w:cs="仿宋"/>
          <w:color w:val="auto"/>
          <w:sz w:val="28"/>
          <w:szCs w:val="28"/>
          <w:highlight w:val="none"/>
        </w:rPr>
        <w:t>；</w:t>
      </w:r>
    </w:p>
    <w:p w14:paraId="4967E64E">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w:t>
      </w:r>
      <w:r>
        <w:rPr>
          <w:rFonts w:hint="eastAsia" w:ascii="仿宋" w:hAnsi="仿宋" w:eastAsia="仿宋" w:cs="仿宋"/>
          <w:color w:val="auto"/>
          <w:sz w:val="28"/>
          <w:szCs w:val="28"/>
          <w:highlight w:val="none"/>
          <w:u w:val="single"/>
        </w:rPr>
        <w:t>（标的名称）</w:t>
      </w:r>
      <w:r>
        <w:rPr>
          <w:rFonts w:hint="eastAsia" w:ascii="仿宋" w:hAnsi="仿宋" w:eastAsia="仿宋" w:cs="仿宋"/>
          <w:color w:val="auto"/>
          <w:sz w:val="28"/>
          <w:szCs w:val="28"/>
          <w:highlight w:val="none"/>
        </w:rPr>
        <w:t>，属于</w:t>
      </w:r>
      <w:r>
        <w:rPr>
          <w:rFonts w:hint="eastAsia" w:ascii="仿宋" w:hAnsi="仿宋" w:eastAsia="仿宋" w:cs="仿宋"/>
          <w:color w:val="auto"/>
          <w:sz w:val="28"/>
          <w:szCs w:val="28"/>
          <w:highlight w:val="none"/>
          <w:u w:val="single"/>
        </w:rPr>
        <w:t>（采购文件中明确的所属行业）</w:t>
      </w:r>
      <w:r>
        <w:rPr>
          <w:rFonts w:hint="eastAsia" w:ascii="仿宋" w:hAnsi="仿宋" w:eastAsia="仿宋" w:cs="仿宋"/>
          <w:color w:val="auto"/>
          <w:sz w:val="28"/>
          <w:szCs w:val="28"/>
          <w:highlight w:val="none"/>
        </w:rPr>
        <w:t>行业；制造商为</w:t>
      </w:r>
      <w:r>
        <w:rPr>
          <w:rFonts w:hint="eastAsia" w:ascii="仿宋" w:hAnsi="仿宋" w:eastAsia="仿宋" w:cs="仿宋"/>
          <w:color w:val="auto"/>
          <w:sz w:val="28"/>
          <w:szCs w:val="28"/>
          <w:highlight w:val="none"/>
          <w:u w:val="single"/>
        </w:rPr>
        <w:t>（企业名称）</w:t>
      </w:r>
      <w:r>
        <w:rPr>
          <w:rFonts w:hint="eastAsia" w:ascii="仿宋" w:hAnsi="仿宋" w:eastAsia="仿宋" w:cs="仿宋"/>
          <w:color w:val="auto"/>
          <w:sz w:val="28"/>
          <w:szCs w:val="28"/>
          <w:highlight w:val="none"/>
        </w:rPr>
        <w:t>，从业人员__________________人，营业收入为__________________万元，资产总额为__________________万元1，属于</w:t>
      </w:r>
      <w:r>
        <w:rPr>
          <w:rFonts w:hint="eastAsia" w:ascii="仿宋" w:hAnsi="仿宋" w:eastAsia="仿宋" w:cs="仿宋"/>
          <w:color w:val="auto"/>
          <w:sz w:val="28"/>
          <w:szCs w:val="28"/>
          <w:highlight w:val="none"/>
          <w:u w:val="single"/>
        </w:rPr>
        <w:t>（中型企业、小型企业、微型企业）</w:t>
      </w:r>
      <w:r>
        <w:rPr>
          <w:rFonts w:hint="eastAsia" w:ascii="仿宋" w:hAnsi="仿宋" w:eastAsia="仿宋" w:cs="仿宋"/>
          <w:color w:val="auto"/>
          <w:sz w:val="28"/>
          <w:szCs w:val="28"/>
          <w:highlight w:val="none"/>
        </w:rPr>
        <w:t>；</w:t>
      </w:r>
    </w:p>
    <w:p w14:paraId="7C348E5D">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w:t>
      </w:r>
    </w:p>
    <w:p w14:paraId="1913B570">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以上企业，不属于大企业的分支机构，不存在控股股东为大企业的情形，也不存在与大企业的负责人为同一人的情形。</w:t>
      </w:r>
    </w:p>
    <w:p w14:paraId="376C3CA9">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本企业对上述声明内容的真实性负责。如有虚假，将依法承担相应责任。</w:t>
      </w:r>
    </w:p>
    <w:p w14:paraId="53D5544F">
      <w:pPr>
        <w:pStyle w:val="16"/>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企业名称（盖章）：__________________</w:t>
      </w:r>
    </w:p>
    <w:p w14:paraId="74C197EF">
      <w:pPr>
        <w:pStyle w:val="16"/>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日期： 年 月 日</w:t>
      </w:r>
    </w:p>
    <w:p w14:paraId="27061303">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1：从业人员、营业收入、资产总额填报上一年度数据，无上一年度数据的新成立企业可不填报</w:t>
      </w:r>
    </w:p>
    <w:p w14:paraId="36FDFC6F">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14:paraId="10074322">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br w:type="page"/>
      </w:r>
    </w:p>
    <w:p w14:paraId="0D9FEC44">
      <w:pPr>
        <w:pStyle w:val="16"/>
        <w:spacing w:line="360" w:lineRule="auto"/>
        <w:ind w:firstLine="480"/>
        <w:rPr>
          <w:rFonts w:hint="eastAsia" w:ascii="仿宋" w:hAnsi="仿宋" w:eastAsia="仿宋" w:cs="仿宋"/>
          <w:b/>
          <w:color w:val="auto"/>
          <w:sz w:val="28"/>
          <w:szCs w:val="28"/>
          <w:highlight w:val="none"/>
        </w:rPr>
      </w:pPr>
      <w:r>
        <w:rPr>
          <w:rFonts w:hint="eastAsia" w:ascii="仿宋" w:hAnsi="仿宋" w:eastAsia="仿宋" w:cs="仿宋"/>
          <w:color w:val="auto"/>
          <w:sz w:val="28"/>
          <w:szCs w:val="28"/>
          <w:highlight w:val="none"/>
        </w:rPr>
        <w:t>中小企业声明函（承建本项目工程为中小企业或者承接本项目服务为中小企业时提交本函，所属行业应符合采购文件中明确的本项目所属行业）</w:t>
      </w:r>
    </w:p>
    <w:p w14:paraId="5477F3BA">
      <w:pPr>
        <w:pStyle w:val="16"/>
        <w:spacing w:line="360" w:lineRule="auto"/>
        <w:jc w:val="center"/>
        <w:outlineLvl w:val="3"/>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中小企业声明函（工程、服务）</w:t>
      </w:r>
    </w:p>
    <w:p w14:paraId="741F363C">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本公司（联合体）郑重声明，根据《政府采购促进中小企业发展管理办法》（财库﹝2020﹞46 号）的规定，本公司（联合体）参加</w:t>
      </w:r>
      <w:r>
        <w:rPr>
          <w:rFonts w:hint="eastAsia" w:ascii="仿宋" w:hAnsi="仿宋" w:eastAsia="仿宋" w:cs="仿宋"/>
          <w:color w:val="auto"/>
          <w:sz w:val="28"/>
          <w:szCs w:val="28"/>
          <w:highlight w:val="none"/>
          <w:u w:val="single"/>
        </w:rPr>
        <w:t>（单位名称）</w:t>
      </w:r>
      <w:r>
        <w:rPr>
          <w:rFonts w:hint="eastAsia" w:ascii="仿宋" w:hAnsi="仿宋" w:eastAsia="仿宋" w:cs="仿宋"/>
          <w:color w:val="auto"/>
          <w:sz w:val="28"/>
          <w:szCs w:val="28"/>
          <w:highlight w:val="none"/>
        </w:rPr>
        <w:t>的</w:t>
      </w:r>
      <w:r>
        <w:rPr>
          <w:rFonts w:hint="eastAsia" w:ascii="仿宋" w:hAnsi="仿宋" w:eastAsia="仿宋" w:cs="仿宋"/>
          <w:color w:val="auto"/>
          <w:sz w:val="28"/>
          <w:szCs w:val="28"/>
          <w:highlight w:val="none"/>
          <w:u w:val="single"/>
        </w:rPr>
        <w:t>（项目名称）</w:t>
      </w:r>
      <w:r>
        <w:rPr>
          <w:rFonts w:hint="eastAsia" w:ascii="仿宋" w:hAnsi="仿宋" w:eastAsia="仿宋" w:cs="仿宋"/>
          <w:color w:val="auto"/>
          <w:sz w:val="28"/>
          <w:szCs w:val="28"/>
          <w:highlight w:val="none"/>
        </w:rPr>
        <w:t>采购活动，工程的施工单位全部为符合政策要求的中小企业（或者：服务全部由符合政策要求的中小企业承接）。相关企业（含联合体中的中小企业、签订分包意向协议的中小企业）的具体情况如下：</w:t>
      </w:r>
    </w:p>
    <w:p w14:paraId="54F72F74">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1.</w:t>
      </w:r>
      <w:r>
        <w:rPr>
          <w:rFonts w:hint="eastAsia" w:ascii="仿宋" w:hAnsi="仿宋" w:eastAsia="仿宋" w:cs="仿宋"/>
          <w:color w:val="auto"/>
          <w:sz w:val="28"/>
          <w:szCs w:val="28"/>
          <w:highlight w:val="none"/>
          <w:u w:val="single"/>
        </w:rPr>
        <w:t>（标的名称）</w:t>
      </w:r>
      <w:r>
        <w:rPr>
          <w:rFonts w:hint="eastAsia" w:ascii="仿宋" w:hAnsi="仿宋" w:eastAsia="仿宋" w:cs="仿宋"/>
          <w:color w:val="auto"/>
          <w:sz w:val="28"/>
          <w:szCs w:val="28"/>
          <w:highlight w:val="none"/>
        </w:rPr>
        <w:t>，属于</w:t>
      </w:r>
      <w:r>
        <w:rPr>
          <w:rFonts w:hint="eastAsia" w:ascii="仿宋" w:hAnsi="仿宋" w:eastAsia="仿宋" w:cs="仿宋"/>
          <w:color w:val="auto"/>
          <w:sz w:val="28"/>
          <w:szCs w:val="28"/>
          <w:highlight w:val="none"/>
          <w:u w:val="single"/>
        </w:rPr>
        <w:t>（采购文件中明确的所属行业）</w:t>
      </w:r>
      <w:r>
        <w:rPr>
          <w:rFonts w:hint="eastAsia" w:ascii="仿宋" w:hAnsi="仿宋" w:eastAsia="仿宋" w:cs="仿宋"/>
          <w:color w:val="auto"/>
          <w:sz w:val="28"/>
          <w:szCs w:val="28"/>
          <w:highlight w:val="none"/>
        </w:rPr>
        <w:t>行业；承建（承接）企业为</w:t>
      </w:r>
      <w:r>
        <w:rPr>
          <w:rFonts w:hint="eastAsia" w:ascii="仿宋" w:hAnsi="仿宋" w:eastAsia="仿宋" w:cs="仿宋"/>
          <w:color w:val="auto"/>
          <w:sz w:val="28"/>
          <w:szCs w:val="28"/>
          <w:highlight w:val="none"/>
          <w:u w:val="single"/>
        </w:rPr>
        <w:t>（企业名称）</w:t>
      </w:r>
      <w:r>
        <w:rPr>
          <w:rFonts w:hint="eastAsia" w:ascii="仿宋" w:hAnsi="仿宋" w:eastAsia="仿宋" w:cs="仿宋"/>
          <w:color w:val="auto"/>
          <w:sz w:val="28"/>
          <w:szCs w:val="28"/>
          <w:highlight w:val="none"/>
        </w:rPr>
        <w:t>，从业人员__________________人，营业收入为__________________万元，资产总额为__________________万元1，属于</w:t>
      </w:r>
      <w:r>
        <w:rPr>
          <w:rFonts w:hint="eastAsia" w:ascii="仿宋" w:hAnsi="仿宋" w:eastAsia="仿宋" w:cs="仿宋"/>
          <w:color w:val="auto"/>
          <w:sz w:val="28"/>
          <w:szCs w:val="28"/>
          <w:highlight w:val="none"/>
          <w:u w:val="single"/>
        </w:rPr>
        <w:t>（中型企业、小型企业、微型企业）</w:t>
      </w:r>
      <w:r>
        <w:rPr>
          <w:rFonts w:hint="eastAsia" w:ascii="仿宋" w:hAnsi="仿宋" w:eastAsia="仿宋" w:cs="仿宋"/>
          <w:color w:val="auto"/>
          <w:sz w:val="28"/>
          <w:szCs w:val="28"/>
          <w:highlight w:val="none"/>
        </w:rPr>
        <w:t>；</w:t>
      </w:r>
    </w:p>
    <w:p w14:paraId="7A05564A">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2.</w:t>
      </w:r>
      <w:r>
        <w:rPr>
          <w:rFonts w:hint="eastAsia" w:ascii="仿宋" w:hAnsi="仿宋" w:eastAsia="仿宋" w:cs="仿宋"/>
          <w:color w:val="auto"/>
          <w:sz w:val="28"/>
          <w:szCs w:val="28"/>
          <w:highlight w:val="none"/>
          <w:u w:val="single"/>
        </w:rPr>
        <w:t>（标的名称）</w:t>
      </w:r>
      <w:r>
        <w:rPr>
          <w:rFonts w:hint="eastAsia" w:ascii="仿宋" w:hAnsi="仿宋" w:eastAsia="仿宋" w:cs="仿宋"/>
          <w:color w:val="auto"/>
          <w:sz w:val="28"/>
          <w:szCs w:val="28"/>
          <w:highlight w:val="none"/>
        </w:rPr>
        <w:t>，属于</w:t>
      </w:r>
      <w:r>
        <w:rPr>
          <w:rFonts w:hint="eastAsia" w:ascii="仿宋" w:hAnsi="仿宋" w:eastAsia="仿宋" w:cs="仿宋"/>
          <w:color w:val="auto"/>
          <w:sz w:val="28"/>
          <w:szCs w:val="28"/>
          <w:highlight w:val="none"/>
          <w:u w:val="single"/>
        </w:rPr>
        <w:t>（采购文件中明确的所属行业）</w:t>
      </w:r>
      <w:r>
        <w:rPr>
          <w:rFonts w:hint="eastAsia" w:ascii="仿宋" w:hAnsi="仿宋" w:eastAsia="仿宋" w:cs="仿宋"/>
          <w:color w:val="auto"/>
          <w:sz w:val="28"/>
          <w:szCs w:val="28"/>
          <w:highlight w:val="none"/>
        </w:rPr>
        <w:t>行业；承建（承接）企业为</w:t>
      </w:r>
      <w:r>
        <w:rPr>
          <w:rFonts w:hint="eastAsia" w:ascii="仿宋" w:hAnsi="仿宋" w:eastAsia="仿宋" w:cs="仿宋"/>
          <w:color w:val="auto"/>
          <w:sz w:val="28"/>
          <w:szCs w:val="28"/>
          <w:highlight w:val="none"/>
          <w:u w:val="single"/>
        </w:rPr>
        <w:t>（企业名称）</w:t>
      </w:r>
      <w:r>
        <w:rPr>
          <w:rFonts w:hint="eastAsia" w:ascii="仿宋" w:hAnsi="仿宋" w:eastAsia="仿宋" w:cs="仿宋"/>
          <w:color w:val="auto"/>
          <w:sz w:val="28"/>
          <w:szCs w:val="28"/>
          <w:highlight w:val="none"/>
        </w:rPr>
        <w:t>，从业人员__________________人，营业收入为__________________万元，资产总额为__________________万元1，属于</w:t>
      </w:r>
      <w:r>
        <w:rPr>
          <w:rFonts w:hint="eastAsia" w:ascii="仿宋" w:hAnsi="仿宋" w:eastAsia="仿宋" w:cs="仿宋"/>
          <w:color w:val="auto"/>
          <w:sz w:val="28"/>
          <w:szCs w:val="28"/>
          <w:highlight w:val="none"/>
          <w:u w:val="single"/>
        </w:rPr>
        <w:t>（中型企业、小型企业、微型企业）</w:t>
      </w:r>
      <w:r>
        <w:rPr>
          <w:rFonts w:hint="eastAsia" w:ascii="仿宋" w:hAnsi="仿宋" w:eastAsia="仿宋" w:cs="仿宋"/>
          <w:color w:val="auto"/>
          <w:sz w:val="28"/>
          <w:szCs w:val="28"/>
          <w:highlight w:val="none"/>
        </w:rPr>
        <w:t>；</w:t>
      </w:r>
    </w:p>
    <w:p w14:paraId="7EC6AC53">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w:t>
      </w:r>
    </w:p>
    <w:p w14:paraId="299591B6">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以上企业，不属于大企业的分支机构，不存在控股股东为大企业的情形，也不存在与大企业的负责人为同一人的情形。</w:t>
      </w:r>
    </w:p>
    <w:p w14:paraId="7205C247">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本企业对上述声明内容的真实性负责。如有虚假，将依法承担相应责任。</w:t>
      </w:r>
    </w:p>
    <w:p w14:paraId="60E2E758">
      <w:pPr>
        <w:pStyle w:val="16"/>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企业名称（盖章）：__________________</w:t>
      </w:r>
    </w:p>
    <w:p w14:paraId="5F462A0F">
      <w:pPr>
        <w:pStyle w:val="16"/>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日期： 年 月 日</w:t>
      </w:r>
    </w:p>
    <w:p w14:paraId="6C1CFDE8">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1：从业人员、营业收入、资产总额填报上一年度数据，无上一年度数据的新成立企业可不填报。</w:t>
      </w:r>
    </w:p>
    <w:p w14:paraId="5A6E848F">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2：投标人应当自行核实是否属于小微企业，并认真填写声明函，若有虚假将追究其责任。</w:t>
      </w:r>
    </w:p>
    <w:p w14:paraId="2727661F">
      <w:pPr>
        <w:rPr>
          <w:rFonts w:hint="eastAsia" w:ascii="仿宋" w:hAnsi="仿宋" w:eastAsia="仿宋" w:cs="仿宋"/>
          <w:b/>
          <w:color w:val="auto"/>
          <w:sz w:val="28"/>
          <w:szCs w:val="28"/>
          <w:highlight w:val="none"/>
          <w:lang w:val="en-US" w:eastAsia="zh-CN"/>
        </w:rPr>
      </w:pPr>
      <w:r>
        <w:rPr>
          <w:rFonts w:hint="eastAsia" w:ascii="仿宋" w:hAnsi="仿宋" w:eastAsia="仿宋" w:cs="仿宋"/>
          <w:b/>
          <w:color w:val="auto"/>
          <w:sz w:val="28"/>
          <w:szCs w:val="28"/>
          <w:highlight w:val="none"/>
          <w:lang w:val="en-US" w:eastAsia="zh-CN"/>
        </w:rPr>
        <w:br w:type="page"/>
      </w:r>
    </w:p>
    <w:p w14:paraId="757BA6CD">
      <w:pPr>
        <w:pStyle w:val="16"/>
        <w:spacing w:line="360" w:lineRule="auto"/>
        <w:outlineLvl w:val="2"/>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lang w:val="en-US" w:eastAsia="zh-CN"/>
        </w:rPr>
        <w:t>附件9</w:t>
      </w:r>
      <w:r>
        <w:rPr>
          <w:rFonts w:hint="eastAsia" w:ascii="仿宋" w:hAnsi="仿宋" w:eastAsia="仿宋" w:cs="仿宋"/>
          <w:b/>
          <w:color w:val="auto"/>
          <w:sz w:val="28"/>
          <w:szCs w:val="28"/>
          <w:highlight w:val="none"/>
        </w:rPr>
        <w:t>：监狱企业</w:t>
      </w:r>
      <w:r>
        <w:rPr>
          <w:rFonts w:hint="eastAsia" w:ascii="仿宋" w:hAnsi="仿宋" w:eastAsia="仿宋" w:cs="仿宋"/>
          <w:b/>
          <w:color w:val="auto"/>
          <w:sz w:val="28"/>
          <w:szCs w:val="28"/>
          <w:highlight w:val="none"/>
          <w:lang w:eastAsia="zh-CN"/>
        </w:rPr>
        <w:t>（</w:t>
      </w:r>
      <w:r>
        <w:rPr>
          <w:rFonts w:hint="eastAsia" w:ascii="仿宋" w:hAnsi="仿宋" w:eastAsia="仿宋" w:cs="仿宋"/>
          <w:b/>
          <w:color w:val="auto"/>
          <w:sz w:val="28"/>
          <w:szCs w:val="28"/>
          <w:highlight w:val="none"/>
          <w:lang w:val="en-US" w:eastAsia="zh-CN"/>
        </w:rPr>
        <w:t>如需</w:t>
      </w:r>
      <w:r>
        <w:rPr>
          <w:rFonts w:hint="eastAsia" w:ascii="仿宋" w:hAnsi="仿宋" w:eastAsia="仿宋" w:cs="仿宋"/>
          <w:b/>
          <w:color w:val="auto"/>
          <w:sz w:val="28"/>
          <w:szCs w:val="28"/>
          <w:highlight w:val="none"/>
          <w:lang w:eastAsia="zh-CN"/>
        </w:rPr>
        <w:t>）</w:t>
      </w:r>
    </w:p>
    <w:p w14:paraId="4B248883">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（以下格式文件由供应商根据需要选用）</w:t>
      </w:r>
    </w:p>
    <w:p w14:paraId="22395BC7">
      <w:pPr>
        <w:pStyle w:val="16"/>
        <w:spacing w:line="360" w:lineRule="auto"/>
        <w:jc w:val="center"/>
        <w:outlineLvl w:val="3"/>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监狱企业</w:t>
      </w:r>
    </w:p>
    <w:p w14:paraId="116F8109">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提供由监狱管理局、戒毒管理局（含新疆生产建设兵团）出具的属于监狱企业的证明文件。</w:t>
      </w:r>
    </w:p>
    <w:p w14:paraId="70D2FB33">
      <w:pP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br w:type="page"/>
      </w:r>
    </w:p>
    <w:p w14:paraId="50A739BD">
      <w:pPr>
        <w:pStyle w:val="4"/>
        <w:bidi w:val="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附件10</w:t>
      </w:r>
      <w:r>
        <w:rPr>
          <w:rFonts w:hint="eastAsia" w:ascii="仿宋" w:hAnsi="仿宋" w:eastAsia="仿宋" w:cs="仿宋"/>
          <w:color w:val="auto"/>
          <w:sz w:val="28"/>
          <w:szCs w:val="28"/>
          <w:highlight w:val="none"/>
        </w:rPr>
        <w:t>：残疾人福利性单位声明函</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如需</w:t>
      </w:r>
      <w:r>
        <w:rPr>
          <w:rFonts w:hint="eastAsia" w:ascii="仿宋" w:hAnsi="仿宋" w:eastAsia="仿宋" w:cs="仿宋"/>
          <w:color w:val="auto"/>
          <w:sz w:val="28"/>
          <w:szCs w:val="28"/>
          <w:highlight w:val="none"/>
          <w:lang w:eastAsia="zh-CN"/>
        </w:rPr>
        <w:t>）</w:t>
      </w:r>
    </w:p>
    <w:p w14:paraId="17F8128D">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（以下格式文件由供应商根据需要选用）</w:t>
      </w:r>
    </w:p>
    <w:p w14:paraId="61323E6E">
      <w:pPr>
        <w:pStyle w:val="16"/>
        <w:spacing w:line="360" w:lineRule="auto"/>
        <w:jc w:val="center"/>
        <w:outlineLvl w:val="3"/>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残疾人福利性单位声明函</w:t>
      </w:r>
    </w:p>
    <w:p w14:paraId="11BD7EB5">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本单位郑重声明，根据《财政部 民政部 中国残疾人联合会关于促进残疾人就业政府采购政策的通知》（财库</w:t>
      </w:r>
      <w:r>
        <w:rPr>
          <w:rFonts w:hint="eastAsia" w:ascii="仿宋" w:hAnsi="仿宋" w:eastAsia="仿宋" w:cs="仿宋"/>
          <w:color w:val="auto"/>
          <w:sz w:val="28"/>
          <w:szCs w:val="28"/>
          <w:highlight w:val="none"/>
          <w:lang w:eastAsia="zh-CN"/>
        </w:rPr>
        <w:t>〔2017〕141号</w:t>
      </w:r>
      <w:r>
        <w:rPr>
          <w:rFonts w:hint="eastAsia" w:ascii="仿宋" w:hAnsi="仿宋" w:eastAsia="仿宋" w:cs="仿宋"/>
          <w:color w:val="auto"/>
          <w:sz w:val="28"/>
          <w:szCs w:val="28"/>
          <w:highlight w:val="none"/>
        </w:rPr>
        <w:t>）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2A529EBB">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本单位对上述声明的真实性负责。如有虚假，将依法承担相应责任。</w:t>
      </w:r>
    </w:p>
    <w:p w14:paraId="16D72391">
      <w:pPr>
        <w:pStyle w:val="6"/>
        <w:spacing w:line="360" w:lineRule="auto"/>
        <w:rPr>
          <w:rFonts w:hint="eastAsia" w:ascii="仿宋" w:hAnsi="仿宋" w:eastAsia="仿宋" w:cs="仿宋"/>
          <w:color w:val="auto"/>
          <w:sz w:val="28"/>
          <w:szCs w:val="28"/>
          <w:highlight w:val="none"/>
        </w:rPr>
      </w:pPr>
    </w:p>
    <w:p w14:paraId="4E7B7697">
      <w:pPr>
        <w:pStyle w:val="6"/>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投标人名称（加盖公章）：</w:t>
      </w:r>
    </w:p>
    <w:p w14:paraId="293C4F3B">
      <w:pPr>
        <w:pStyle w:val="6"/>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投标人法定代表人或受委托人（签名或盖私章）：</w:t>
      </w:r>
    </w:p>
    <w:p w14:paraId="6429BC98">
      <w:pPr>
        <w:pStyle w:val="6"/>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日       期：</w:t>
      </w:r>
    </w:p>
    <w:p w14:paraId="49A87AB4">
      <w:pPr>
        <w:pStyle w:val="16"/>
        <w:spacing w:line="360" w:lineRule="auto"/>
        <w:rPr>
          <w:rFonts w:hint="eastAsia" w:ascii="仿宋" w:hAnsi="仿宋" w:eastAsia="仿宋" w:cs="仿宋"/>
          <w:color w:val="auto"/>
          <w:sz w:val="28"/>
          <w:szCs w:val="28"/>
          <w:highlight w:val="none"/>
        </w:rPr>
      </w:pPr>
    </w:p>
    <w:p w14:paraId="757A5699">
      <w:pPr>
        <w:pStyle w:val="16"/>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注：本函未填写或未勾选视作未做声明。</w:t>
      </w:r>
    </w:p>
    <w:p w14:paraId="12CCE9AF">
      <w:pP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br w:type="page"/>
      </w:r>
    </w:p>
    <w:p w14:paraId="513D4418">
      <w:pPr>
        <w:pStyle w:val="4"/>
        <w:bidi w:val="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附件11</w:t>
      </w:r>
      <w:r>
        <w:rPr>
          <w:rFonts w:hint="eastAsia" w:ascii="仿宋" w:hAnsi="仿宋" w:eastAsia="仿宋" w:cs="仿宋"/>
          <w:color w:val="auto"/>
          <w:sz w:val="28"/>
          <w:szCs w:val="28"/>
          <w:highlight w:val="none"/>
        </w:rPr>
        <w:t>：联合体共同投标协议书</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如需</w:t>
      </w:r>
      <w:r>
        <w:rPr>
          <w:rFonts w:hint="eastAsia" w:ascii="仿宋" w:hAnsi="仿宋" w:eastAsia="仿宋" w:cs="仿宋"/>
          <w:color w:val="auto"/>
          <w:sz w:val="28"/>
          <w:szCs w:val="28"/>
          <w:highlight w:val="none"/>
          <w:lang w:eastAsia="zh-CN"/>
        </w:rPr>
        <w:t>）</w:t>
      </w:r>
    </w:p>
    <w:p w14:paraId="0FD4C2A9">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（以下格式文件由供应商根据需要选用）</w:t>
      </w:r>
    </w:p>
    <w:p w14:paraId="7576BA00">
      <w:pPr>
        <w:pStyle w:val="16"/>
        <w:spacing w:line="360" w:lineRule="auto"/>
        <w:jc w:val="center"/>
        <w:outlineLvl w:val="3"/>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联合体共同投标协议书</w:t>
      </w:r>
    </w:p>
    <w:p w14:paraId="53EE1897">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立约方：</w:t>
      </w:r>
      <w:r>
        <w:rPr>
          <w:rFonts w:hint="eastAsia" w:ascii="仿宋" w:hAnsi="仿宋" w:eastAsia="仿宋" w:cs="仿宋"/>
          <w:color w:val="auto"/>
          <w:sz w:val="28"/>
          <w:szCs w:val="28"/>
          <w:highlight w:val="none"/>
          <w:u w:val="single"/>
        </w:rPr>
        <w:t>（甲公司全称）</w:t>
      </w:r>
    </w:p>
    <w:p w14:paraId="1F784342">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single"/>
        </w:rPr>
        <w:t>（乙公司全称）</w:t>
      </w:r>
    </w:p>
    <w:p w14:paraId="1CA115CF">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single"/>
        </w:rPr>
        <w:t>（……公司全称）</w:t>
      </w:r>
    </w:p>
    <w:p w14:paraId="03912881">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single"/>
        </w:rPr>
        <w:t>（甲公司全称）、（乙公司全称）、（……公司全称）</w:t>
      </w:r>
      <w:r>
        <w:rPr>
          <w:rFonts w:hint="eastAsia" w:ascii="仿宋" w:hAnsi="仿宋" w:eastAsia="仿宋" w:cs="仿宋"/>
          <w:color w:val="auto"/>
          <w:sz w:val="28"/>
          <w:szCs w:val="28"/>
          <w:highlight w:val="none"/>
        </w:rPr>
        <w:t>自愿组成联合体，以一个投标人的身份共同参加（采购项目名称）（采购项目编号）的响应活动。经各方充分协商一致，就项目的响应和合同实施阶段的有关事务协商一致订立协议如下：</w:t>
      </w:r>
    </w:p>
    <w:p w14:paraId="284C76AD">
      <w:pPr>
        <w:pStyle w:val="16"/>
        <w:spacing w:line="360" w:lineRule="auto"/>
        <w:ind w:firstLine="480"/>
        <w:outlineLvl w:val="3"/>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一、联合体各方关系</w:t>
      </w:r>
    </w:p>
    <w:p w14:paraId="48633F22">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single"/>
        </w:rPr>
        <w:t>（甲公司全称）、（乙公司全称）、（……公司全称）</w:t>
      </w:r>
      <w:r>
        <w:rPr>
          <w:rFonts w:hint="eastAsia" w:ascii="仿宋" w:hAnsi="仿宋" w:eastAsia="仿宋" w:cs="仿宋"/>
          <w:color w:val="auto"/>
          <w:sz w:val="28"/>
          <w:szCs w:val="28"/>
          <w:highlight w:val="none"/>
        </w:rPr>
        <w:t>共同组成一个联合体，以一个投标人的身份共同参加本项目的响应。（甲公司全称）、（乙公司全称）、（……公司全称）作为联合体成员，若中标，联合体各方共同与（采购人）签订采购合同。</w:t>
      </w:r>
    </w:p>
    <w:p w14:paraId="1D09C67E">
      <w:pPr>
        <w:pStyle w:val="16"/>
        <w:spacing w:line="360" w:lineRule="auto"/>
        <w:ind w:firstLine="480"/>
        <w:outlineLvl w:val="3"/>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二、联合体内部有关事项约定如下：</w:t>
      </w:r>
    </w:p>
    <w:p w14:paraId="0484D67D">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1.（甲公司全称）作为联合体的牵头单位，代表联合体双方负责投标和合同实施阶段的主办、协调工作。</w:t>
      </w:r>
    </w:p>
    <w:p w14:paraId="3B2408DB">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2.联合体将严格按照文件的各项要求，递交投标文件，切实执行一切合同文件，共同承担合同规定的一切义务和责任，同时按照内部职责的划分，承担自身所负的责任和风险，在法律上承担连带责任。</w:t>
      </w:r>
    </w:p>
    <w:p w14:paraId="5B60B69E">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3.如果本联合体中标，</w:t>
      </w:r>
      <w:r>
        <w:rPr>
          <w:rFonts w:hint="eastAsia" w:ascii="仿宋" w:hAnsi="仿宋" w:eastAsia="仿宋" w:cs="仿宋"/>
          <w:color w:val="auto"/>
          <w:sz w:val="28"/>
          <w:szCs w:val="28"/>
          <w:highlight w:val="none"/>
          <w:u w:val="single"/>
        </w:rPr>
        <w:t>（甲公司全称）</w:t>
      </w:r>
      <w:r>
        <w:rPr>
          <w:rFonts w:hint="eastAsia" w:ascii="仿宋" w:hAnsi="仿宋" w:eastAsia="仿宋" w:cs="仿宋"/>
          <w:color w:val="auto"/>
          <w:sz w:val="28"/>
          <w:szCs w:val="28"/>
          <w:highlight w:val="none"/>
        </w:rPr>
        <w:t>负责本项目___________部分，</w:t>
      </w:r>
      <w:r>
        <w:rPr>
          <w:rFonts w:hint="eastAsia" w:ascii="仿宋" w:hAnsi="仿宋" w:eastAsia="仿宋" w:cs="仿宋"/>
          <w:color w:val="auto"/>
          <w:sz w:val="28"/>
          <w:szCs w:val="28"/>
          <w:highlight w:val="none"/>
          <w:u w:val="single"/>
        </w:rPr>
        <w:t>（乙公司全称）</w:t>
      </w:r>
      <w:r>
        <w:rPr>
          <w:rFonts w:hint="eastAsia" w:ascii="仿宋" w:hAnsi="仿宋" w:eastAsia="仿宋" w:cs="仿宋"/>
          <w:color w:val="auto"/>
          <w:sz w:val="28"/>
          <w:szCs w:val="28"/>
          <w:highlight w:val="none"/>
        </w:rPr>
        <w:t>负责本项目___________部分。</w:t>
      </w:r>
    </w:p>
    <w:p w14:paraId="6D072937">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4.如中标，联合体各方共同与（采购人）签订合同书，并就中标项目向采购人负责有连带的和各自的法律责任；</w:t>
      </w:r>
    </w:p>
    <w:p w14:paraId="44A7E3ED">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5.联合体成员（公司全称）为（请填写：小型、微型）企业，将承担合同总金额_____%的工作内容（联合体成员中有小型、微型企业时适用）。</w:t>
      </w:r>
    </w:p>
    <w:p w14:paraId="4C58C07D">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14:paraId="23E71CEF">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四、联合体如因违约过失责任而导致采购人经济损失或被索赔时，本联合体任何一方均同意无条件优先清偿采购人的一切债务和经济赔偿。</w:t>
      </w:r>
    </w:p>
    <w:p w14:paraId="5FC242F4">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五、本协议在自签署之日起生效，有效期内有效，如获中标资格，合同有效期延续至合同履行完毕之日。</w:t>
      </w:r>
    </w:p>
    <w:p w14:paraId="6B739474">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六、本协议书正本一式_____份，随投标文件装订_____份，送采购人_____份，联合体成员各一份；副本一式_____份，联合体成员各执_____份。</w:t>
      </w:r>
    </w:p>
    <w:p w14:paraId="3485C7ED">
      <w:pPr>
        <w:pStyle w:val="16"/>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甲公司全称：____（盖章）________，乙公司全称：____（盖章）________，……公司全称：____（盖章）________，</w:t>
      </w:r>
    </w:p>
    <w:p w14:paraId="7DE8B32D">
      <w:pPr>
        <w:pStyle w:val="16"/>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____年____月 ____日，____年____月____日，____年____月____日</w:t>
      </w:r>
    </w:p>
    <w:p w14:paraId="7AE85B6D">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注：1．联合响应时需签本协议，联合体各方成员应在本协议上共同盖章确认。</w:t>
      </w:r>
    </w:p>
    <w:p w14:paraId="0645CD22">
      <w:pPr>
        <w:pStyle w:val="16"/>
        <w:spacing w:line="360" w:lineRule="auto"/>
        <w:ind w:firstLine="480"/>
        <w:outlineLvl w:val="1"/>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2．本协议内容不得擅自修改。此协议将作为签订合同的附件之一。</w:t>
      </w:r>
    </w:p>
    <w:p w14:paraId="090604BD">
      <w:pP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br w:type="page"/>
      </w:r>
    </w:p>
    <w:p w14:paraId="0F165773">
      <w:pPr>
        <w:pStyle w:val="4"/>
        <w:bidi w:val="0"/>
        <w:outlineLvl w:val="2"/>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附件12</w:t>
      </w:r>
      <w:r>
        <w:rPr>
          <w:rFonts w:hint="eastAsia" w:ascii="仿宋" w:hAnsi="仿宋" w:eastAsia="仿宋" w:cs="仿宋"/>
          <w:color w:val="auto"/>
          <w:sz w:val="28"/>
          <w:szCs w:val="28"/>
          <w:highlight w:val="none"/>
        </w:rPr>
        <w:t>：投标人业绩情况表</w:t>
      </w:r>
    </w:p>
    <w:p w14:paraId="421A2E42">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（以下格式文件由供应商根据需要选用）</w:t>
      </w:r>
    </w:p>
    <w:p w14:paraId="37702842">
      <w:pPr>
        <w:pStyle w:val="16"/>
        <w:spacing w:line="360" w:lineRule="auto"/>
        <w:jc w:val="center"/>
        <w:outlineLvl w:val="3"/>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投标人业绩情况表</w:t>
      </w:r>
    </w:p>
    <w:tbl>
      <w:tblPr>
        <w:tblStyle w:val="12"/>
        <w:tblW w:w="4998"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419"/>
        <w:gridCol w:w="1420"/>
        <w:gridCol w:w="1420"/>
        <w:gridCol w:w="1420"/>
        <w:gridCol w:w="1420"/>
        <w:gridCol w:w="1420"/>
      </w:tblGrid>
      <w:tr w14:paraId="5BB487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3" w:type="pct"/>
          </w:tcPr>
          <w:p w14:paraId="2E5DEE27">
            <w:pPr>
              <w:pStyle w:val="16"/>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序号</w:t>
            </w:r>
          </w:p>
        </w:tc>
        <w:tc>
          <w:tcPr>
            <w:tcW w:w="833" w:type="pct"/>
          </w:tcPr>
          <w:p w14:paraId="5C0192D9">
            <w:pPr>
              <w:pStyle w:val="16"/>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客户名称</w:t>
            </w:r>
          </w:p>
        </w:tc>
        <w:tc>
          <w:tcPr>
            <w:tcW w:w="833" w:type="pct"/>
          </w:tcPr>
          <w:p w14:paraId="6EB41A01">
            <w:pPr>
              <w:pStyle w:val="16"/>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项目名称及合同金额（万元）</w:t>
            </w:r>
          </w:p>
        </w:tc>
        <w:tc>
          <w:tcPr>
            <w:tcW w:w="833" w:type="pct"/>
          </w:tcPr>
          <w:p w14:paraId="5E01D329">
            <w:pPr>
              <w:pStyle w:val="16"/>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签订合同时间</w:t>
            </w:r>
          </w:p>
        </w:tc>
        <w:tc>
          <w:tcPr>
            <w:tcW w:w="833" w:type="pct"/>
          </w:tcPr>
          <w:p w14:paraId="3C1A3331">
            <w:pPr>
              <w:pStyle w:val="16"/>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竣工验收报告时间</w:t>
            </w:r>
          </w:p>
        </w:tc>
        <w:tc>
          <w:tcPr>
            <w:tcW w:w="833" w:type="pct"/>
          </w:tcPr>
          <w:p w14:paraId="75E2CA62">
            <w:pPr>
              <w:pStyle w:val="16"/>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联系人及电话</w:t>
            </w:r>
          </w:p>
        </w:tc>
      </w:tr>
      <w:tr w14:paraId="5FE38C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3" w:type="pct"/>
          </w:tcPr>
          <w:p w14:paraId="6DCEABED">
            <w:pPr>
              <w:pStyle w:val="16"/>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p>
        </w:tc>
        <w:tc>
          <w:tcPr>
            <w:tcW w:w="833" w:type="pct"/>
          </w:tcPr>
          <w:p w14:paraId="024A9C65">
            <w:pPr>
              <w:spacing w:line="360" w:lineRule="auto"/>
              <w:rPr>
                <w:rFonts w:hint="eastAsia" w:ascii="仿宋" w:hAnsi="仿宋" w:eastAsia="仿宋" w:cs="仿宋"/>
                <w:color w:val="auto"/>
                <w:sz w:val="28"/>
                <w:szCs w:val="28"/>
                <w:highlight w:val="none"/>
              </w:rPr>
            </w:pPr>
          </w:p>
        </w:tc>
        <w:tc>
          <w:tcPr>
            <w:tcW w:w="833" w:type="pct"/>
          </w:tcPr>
          <w:p w14:paraId="6F004A6A">
            <w:pPr>
              <w:spacing w:line="360" w:lineRule="auto"/>
              <w:rPr>
                <w:rFonts w:hint="eastAsia" w:ascii="仿宋" w:hAnsi="仿宋" w:eastAsia="仿宋" w:cs="仿宋"/>
                <w:color w:val="auto"/>
                <w:sz w:val="28"/>
                <w:szCs w:val="28"/>
                <w:highlight w:val="none"/>
              </w:rPr>
            </w:pPr>
          </w:p>
        </w:tc>
        <w:tc>
          <w:tcPr>
            <w:tcW w:w="833" w:type="pct"/>
          </w:tcPr>
          <w:p w14:paraId="3E6A4260">
            <w:pPr>
              <w:spacing w:line="360" w:lineRule="auto"/>
              <w:rPr>
                <w:rFonts w:hint="eastAsia" w:ascii="仿宋" w:hAnsi="仿宋" w:eastAsia="仿宋" w:cs="仿宋"/>
                <w:color w:val="auto"/>
                <w:sz w:val="28"/>
                <w:szCs w:val="28"/>
                <w:highlight w:val="none"/>
              </w:rPr>
            </w:pPr>
          </w:p>
        </w:tc>
        <w:tc>
          <w:tcPr>
            <w:tcW w:w="833" w:type="pct"/>
          </w:tcPr>
          <w:p w14:paraId="0B8F4C05">
            <w:pPr>
              <w:spacing w:line="360" w:lineRule="auto"/>
              <w:rPr>
                <w:rFonts w:hint="eastAsia" w:ascii="仿宋" w:hAnsi="仿宋" w:eastAsia="仿宋" w:cs="仿宋"/>
                <w:color w:val="auto"/>
                <w:sz w:val="28"/>
                <w:szCs w:val="28"/>
                <w:highlight w:val="none"/>
              </w:rPr>
            </w:pPr>
          </w:p>
        </w:tc>
        <w:tc>
          <w:tcPr>
            <w:tcW w:w="833" w:type="pct"/>
          </w:tcPr>
          <w:p w14:paraId="2A4EE7AA">
            <w:pPr>
              <w:spacing w:line="360" w:lineRule="auto"/>
              <w:rPr>
                <w:rFonts w:hint="eastAsia" w:ascii="仿宋" w:hAnsi="仿宋" w:eastAsia="仿宋" w:cs="仿宋"/>
                <w:color w:val="auto"/>
                <w:sz w:val="28"/>
                <w:szCs w:val="28"/>
                <w:highlight w:val="none"/>
              </w:rPr>
            </w:pPr>
          </w:p>
        </w:tc>
      </w:tr>
      <w:tr w14:paraId="62C02C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3" w:type="pct"/>
          </w:tcPr>
          <w:p w14:paraId="1E906D84">
            <w:pPr>
              <w:pStyle w:val="16"/>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2</w:t>
            </w:r>
          </w:p>
        </w:tc>
        <w:tc>
          <w:tcPr>
            <w:tcW w:w="833" w:type="pct"/>
          </w:tcPr>
          <w:p w14:paraId="70B8AC56">
            <w:pPr>
              <w:spacing w:line="360" w:lineRule="auto"/>
              <w:rPr>
                <w:rFonts w:hint="eastAsia" w:ascii="仿宋" w:hAnsi="仿宋" w:eastAsia="仿宋" w:cs="仿宋"/>
                <w:color w:val="auto"/>
                <w:sz w:val="28"/>
                <w:szCs w:val="28"/>
                <w:highlight w:val="none"/>
              </w:rPr>
            </w:pPr>
          </w:p>
        </w:tc>
        <w:tc>
          <w:tcPr>
            <w:tcW w:w="833" w:type="pct"/>
          </w:tcPr>
          <w:p w14:paraId="63A4B126">
            <w:pPr>
              <w:spacing w:line="360" w:lineRule="auto"/>
              <w:rPr>
                <w:rFonts w:hint="eastAsia" w:ascii="仿宋" w:hAnsi="仿宋" w:eastAsia="仿宋" w:cs="仿宋"/>
                <w:color w:val="auto"/>
                <w:sz w:val="28"/>
                <w:szCs w:val="28"/>
                <w:highlight w:val="none"/>
              </w:rPr>
            </w:pPr>
          </w:p>
        </w:tc>
        <w:tc>
          <w:tcPr>
            <w:tcW w:w="833" w:type="pct"/>
          </w:tcPr>
          <w:p w14:paraId="2A0B7196">
            <w:pPr>
              <w:spacing w:line="360" w:lineRule="auto"/>
              <w:rPr>
                <w:rFonts w:hint="eastAsia" w:ascii="仿宋" w:hAnsi="仿宋" w:eastAsia="仿宋" w:cs="仿宋"/>
                <w:color w:val="auto"/>
                <w:sz w:val="28"/>
                <w:szCs w:val="28"/>
                <w:highlight w:val="none"/>
              </w:rPr>
            </w:pPr>
          </w:p>
        </w:tc>
        <w:tc>
          <w:tcPr>
            <w:tcW w:w="833" w:type="pct"/>
          </w:tcPr>
          <w:p w14:paraId="23690E04">
            <w:pPr>
              <w:spacing w:line="360" w:lineRule="auto"/>
              <w:rPr>
                <w:rFonts w:hint="eastAsia" w:ascii="仿宋" w:hAnsi="仿宋" w:eastAsia="仿宋" w:cs="仿宋"/>
                <w:color w:val="auto"/>
                <w:sz w:val="28"/>
                <w:szCs w:val="28"/>
                <w:highlight w:val="none"/>
              </w:rPr>
            </w:pPr>
          </w:p>
        </w:tc>
        <w:tc>
          <w:tcPr>
            <w:tcW w:w="833" w:type="pct"/>
          </w:tcPr>
          <w:p w14:paraId="3C79B9BE">
            <w:pPr>
              <w:spacing w:line="360" w:lineRule="auto"/>
              <w:rPr>
                <w:rFonts w:hint="eastAsia" w:ascii="仿宋" w:hAnsi="仿宋" w:eastAsia="仿宋" w:cs="仿宋"/>
                <w:color w:val="auto"/>
                <w:sz w:val="28"/>
                <w:szCs w:val="28"/>
                <w:highlight w:val="none"/>
              </w:rPr>
            </w:pPr>
          </w:p>
        </w:tc>
      </w:tr>
      <w:tr w14:paraId="55349F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3" w:type="pct"/>
          </w:tcPr>
          <w:p w14:paraId="230A9877">
            <w:pPr>
              <w:pStyle w:val="16"/>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3</w:t>
            </w:r>
          </w:p>
        </w:tc>
        <w:tc>
          <w:tcPr>
            <w:tcW w:w="833" w:type="pct"/>
          </w:tcPr>
          <w:p w14:paraId="7EA60053">
            <w:pPr>
              <w:spacing w:line="360" w:lineRule="auto"/>
              <w:rPr>
                <w:rFonts w:hint="eastAsia" w:ascii="仿宋" w:hAnsi="仿宋" w:eastAsia="仿宋" w:cs="仿宋"/>
                <w:color w:val="auto"/>
                <w:sz w:val="28"/>
                <w:szCs w:val="28"/>
                <w:highlight w:val="none"/>
              </w:rPr>
            </w:pPr>
          </w:p>
        </w:tc>
        <w:tc>
          <w:tcPr>
            <w:tcW w:w="833" w:type="pct"/>
          </w:tcPr>
          <w:p w14:paraId="2207F484">
            <w:pPr>
              <w:spacing w:line="360" w:lineRule="auto"/>
              <w:rPr>
                <w:rFonts w:hint="eastAsia" w:ascii="仿宋" w:hAnsi="仿宋" w:eastAsia="仿宋" w:cs="仿宋"/>
                <w:color w:val="auto"/>
                <w:sz w:val="28"/>
                <w:szCs w:val="28"/>
                <w:highlight w:val="none"/>
              </w:rPr>
            </w:pPr>
          </w:p>
        </w:tc>
        <w:tc>
          <w:tcPr>
            <w:tcW w:w="833" w:type="pct"/>
          </w:tcPr>
          <w:p w14:paraId="097BE0B5">
            <w:pPr>
              <w:spacing w:line="360" w:lineRule="auto"/>
              <w:rPr>
                <w:rFonts w:hint="eastAsia" w:ascii="仿宋" w:hAnsi="仿宋" w:eastAsia="仿宋" w:cs="仿宋"/>
                <w:color w:val="auto"/>
                <w:sz w:val="28"/>
                <w:szCs w:val="28"/>
                <w:highlight w:val="none"/>
              </w:rPr>
            </w:pPr>
          </w:p>
        </w:tc>
        <w:tc>
          <w:tcPr>
            <w:tcW w:w="833" w:type="pct"/>
          </w:tcPr>
          <w:p w14:paraId="63F42F67">
            <w:pPr>
              <w:spacing w:line="360" w:lineRule="auto"/>
              <w:rPr>
                <w:rFonts w:hint="eastAsia" w:ascii="仿宋" w:hAnsi="仿宋" w:eastAsia="仿宋" w:cs="仿宋"/>
                <w:color w:val="auto"/>
                <w:sz w:val="28"/>
                <w:szCs w:val="28"/>
                <w:highlight w:val="none"/>
              </w:rPr>
            </w:pPr>
          </w:p>
        </w:tc>
        <w:tc>
          <w:tcPr>
            <w:tcW w:w="833" w:type="pct"/>
          </w:tcPr>
          <w:p w14:paraId="45A9723F">
            <w:pPr>
              <w:spacing w:line="360" w:lineRule="auto"/>
              <w:rPr>
                <w:rFonts w:hint="eastAsia" w:ascii="仿宋" w:hAnsi="仿宋" w:eastAsia="仿宋" w:cs="仿宋"/>
                <w:color w:val="auto"/>
                <w:sz w:val="28"/>
                <w:szCs w:val="28"/>
                <w:highlight w:val="none"/>
              </w:rPr>
            </w:pPr>
          </w:p>
        </w:tc>
      </w:tr>
      <w:tr w14:paraId="054D6B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3" w:type="pct"/>
          </w:tcPr>
          <w:p w14:paraId="3D0E388B">
            <w:pPr>
              <w:pStyle w:val="16"/>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4</w:t>
            </w:r>
          </w:p>
        </w:tc>
        <w:tc>
          <w:tcPr>
            <w:tcW w:w="833" w:type="pct"/>
          </w:tcPr>
          <w:p w14:paraId="0B855A2B">
            <w:pPr>
              <w:spacing w:line="360" w:lineRule="auto"/>
              <w:rPr>
                <w:rFonts w:hint="eastAsia" w:ascii="仿宋" w:hAnsi="仿宋" w:eastAsia="仿宋" w:cs="仿宋"/>
                <w:color w:val="auto"/>
                <w:sz w:val="28"/>
                <w:szCs w:val="28"/>
                <w:highlight w:val="none"/>
              </w:rPr>
            </w:pPr>
          </w:p>
        </w:tc>
        <w:tc>
          <w:tcPr>
            <w:tcW w:w="833" w:type="pct"/>
          </w:tcPr>
          <w:p w14:paraId="20039688">
            <w:pPr>
              <w:spacing w:line="360" w:lineRule="auto"/>
              <w:rPr>
                <w:rFonts w:hint="eastAsia" w:ascii="仿宋" w:hAnsi="仿宋" w:eastAsia="仿宋" w:cs="仿宋"/>
                <w:color w:val="auto"/>
                <w:sz w:val="28"/>
                <w:szCs w:val="28"/>
                <w:highlight w:val="none"/>
              </w:rPr>
            </w:pPr>
          </w:p>
        </w:tc>
        <w:tc>
          <w:tcPr>
            <w:tcW w:w="833" w:type="pct"/>
          </w:tcPr>
          <w:p w14:paraId="7BD96D5D">
            <w:pPr>
              <w:spacing w:line="360" w:lineRule="auto"/>
              <w:rPr>
                <w:rFonts w:hint="eastAsia" w:ascii="仿宋" w:hAnsi="仿宋" w:eastAsia="仿宋" w:cs="仿宋"/>
                <w:color w:val="auto"/>
                <w:sz w:val="28"/>
                <w:szCs w:val="28"/>
                <w:highlight w:val="none"/>
              </w:rPr>
            </w:pPr>
          </w:p>
        </w:tc>
        <w:tc>
          <w:tcPr>
            <w:tcW w:w="833" w:type="pct"/>
          </w:tcPr>
          <w:p w14:paraId="1C155690">
            <w:pPr>
              <w:spacing w:line="360" w:lineRule="auto"/>
              <w:rPr>
                <w:rFonts w:hint="eastAsia" w:ascii="仿宋" w:hAnsi="仿宋" w:eastAsia="仿宋" w:cs="仿宋"/>
                <w:color w:val="auto"/>
                <w:sz w:val="28"/>
                <w:szCs w:val="28"/>
                <w:highlight w:val="none"/>
              </w:rPr>
            </w:pPr>
          </w:p>
        </w:tc>
        <w:tc>
          <w:tcPr>
            <w:tcW w:w="833" w:type="pct"/>
          </w:tcPr>
          <w:p w14:paraId="4482E7F5">
            <w:pPr>
              <w:spacing w:line="360" w:lineRule="auto"/>
              <w:rPr>
                <w:rFonts w:hint="eastAsia" w:ascii="仿宋" w:hAnsi="仿宋" w:eastAsia="仿宋" w:cs="仿宋"/>
                <w:color w:val="auto"/>
                <w:sz w:val="28"/>
                <w:szCs w:val="28"/>
                <w:highlight w:val="none"/>
              </w:rPr>
            </w:pPr>
          </w:p>
        </w:tc>
      </w:tr>
      <w:tr w14:paraId="269A90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3" w:type="pct"/>
          </w:tcPr>
          <w:p w14:paraId="53791C1D">
            <w:pPr>
              <w:pStyle w:val="16"/>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w:t>
            </w:r>
          </w:p>
        </w:tc>
        <w:tc>
          <w:tcPr>
            <w:tcW w:w="833" w:type="pct"/>
          </w:tcPr>
          <w:p w14:paraId="0A6AB640">
            <w:pPr>
              <w:spacing w:line="360" w:lineRule="auto"/>
              <w:rPr>
                <w:rFonts w:hint="eastAsia" w:ascii="仿宋" w:hAnsi="仿宋" w:eastAsia="仿宋" w:cs="仿宋"/>
                <w:color w:val="auto"/>
                <w:sz w:val="28"/>
                <w:szCs w:val="28"/>
                <w:highlight w:val="none"/>
              </w:rPr>
            </w:pPr>
          </w:p>
        </w:tc>
        <w:tc>
          <w:tcPr>
            <w:tcW w:w="833" w:type="pct"/>
          </w:tcPr>
          <w:p w14:paraId="4D68CB93">
            <w:pPr>
              <w:spacing w:line="360" w:lineRule="auto"/>
              <w:rPr>
                <w:rFonts w:hint="eastAsia" w:ascii="仿宋" w:hAnsi="仿宋" w:eastAsia="仿宋" w:cs="仿宋"/>
                <w:color w:val="auto"/>
                <w:sz w:val="28"/>
                <w:szCs w:val="28"/>
                <w:highlight w:val="none"/>
              </w:rPr>
            </w:pPr>
          </w:p>
        </w:tc>
        <w:tc>
          <w:tcPr>
            <w:tcW w:w="833" w:type="pct"/>
          </w:tcPr>
          <w:p w14:paraId="160FEDC5">
            <w:pPr>
              <w:spacing w:line="360" w:lineRule="auto"/>
              <w:rPr>
                <w:rFonts w:hint="eastAsia" w:ascii="仿宋" w:hAnsi="仿宋" w:eastAsia="仿宋" w:cs="仿宋"/>
                <w:color w:val="auto"/>
                <w:sz w:val="28"/>
                <w:szCs w:val="28"/>
                <w:highlight w:val="none"/>
              </w:rPr>
            </w:pPr>
          </w:p>
        </w:tc>
        <w:tc>
          <w:tcPr>
            <w:tcW w:w="833" w:type="pct"/>
          </w:tcPr>
          <w:p w14:paraId="34809C5F">
            <w:pPr>
              <w:spacing w:line="360" w:lineRule="auto"/>
              <w:rPr>
                <w:rFonts w:hint="eastAsia" w:ascii="仿宋" w:hAnsi="仿宋" w:eastAsia="仿宋" w:cs="仿宋"/>
                <w:color w:val="auto"/>
                <w:sz w:val="28"/>
                <w:szCs w:val="28"/>
                <w:highlight w:val="none"/>
              </w:rPr>
            </w:pPr>
          </w:p>
        </w:tc>
        <w:tc>
          <w:tcPr>
            <w:tcW w:w="833" w:type="pct"/>
          </w:tcPr>
          <w:p w14:paraId="7E14D2F2">
            <w:pPr>
              <w:spacing w:line="360" w:lineRule="auto"/>
              <w:rPr>
                <w:rFonts w:hint="eastAsia" w:ascii="仿宋" w:hAnsi="仿宋" w:eastAsia="仿宋" w:cs="仿宋"/>
                <w:color w:val="auto"/>
                <w:sz w:val="28"/>
                <w:szCs w:val="28"/>
                <w:highlight w:val="none"/>
              </w:rPr>
            </w:pPr>
          </w:p>
        </w:tc>
      </w:tr>
    </w:tbl>
    <w:p w14:paraId="2D83FC20">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根据上述业绩情况，按招标文件要求附销售或服务合同复印件及评审标准要求的证明材料。</w:t>
      </w:r>
    </w:p>
    <w:p w14:paraId="78A1B8C6">
      <w:pP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br w:type="page"/>
      </w:r>
    </w:p>
    <w:p w14:paraId="7937B409">
      <w:pPr>
        <w:pStyle w:val="4"/>
        <w:bidi w:val="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附件13</w:t>
      </w:r>
      <w:r>
        <w:rPr>
          <w:rFonts w:hint="eastAsia" w:ascii="仿宋" w:hAnsi="仿宋" w:eastAsia="仿宋" w:cs="仿宋"/>
          <w:color w:val="auto"/>
          <w:sz w:val="28"/>
          <w:szCs w:val="28"/>
          <w:highlight w:val="none"/>
        </w:rPr>
        <w:t>：技术和服务要求响应表</w:t>
      </w:r>
    </w:p>
    <w:p w14:paraId="3F72FF6C">
      <w:pPr>
        <w:pStyle w:val="16"/>
        <w:spacing w:line="360" w:lineRule="auto"/>
        <w:jc w:val="center"/>
        <w:outlineLvl w:val="3"/>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《技术和服务要求响应表》</w:t>
      </w:r>
    </w:p>
    <w:tbl>
      <w:tblPr>
        <w:tblStyle w:val="1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23"/>
        <w:gridCol w:w="923"/>
        <w:gridCol w:w="923"/>
        <w:gridCol w:w="923"/>
        <w:gridCol w:w="923"/>
        <w:gridCol w:w="923"/>
        <w:gridCol w:w="923"/>
        <w:gridCol w:w="923"/>
        <w:gridCol w:w="923"/>
      </w:tblGrid>
      <w:tr w14:paraId="19A271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045CE5FC">
            <w:pPr>
              <w:pStyle w:val="16"/>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序号</w:t>
            </w:r>
          </w:p>
        </w:tc>
        <w:tc>
          <w:tcPr>
            <w:tcW w:w="923" w:type="dxa"/>
          </w:tcPr>
          <w:p w14:paraId="24EECD34">
            <w:pPr>
              <w:pStyle w:val="16"/>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标的名称</w:t>
            </w:r>
          </w:p>
        </w:tc>
        <w:tc>
          <w:tcPr>
            <w:tcW w:w="923" w:type="dxa"/>
          </w:tcPr>
          <w:p w14:paraId="3375AD8D">
            <w:pPr>
              <w:pStyle w:val="16"/>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参数性质</w:t>
            </w:r>
          </w:p>
        </w:tc>
        <w:tc>
          <w:tcPr>
            <w:tcW w:w="923" w:type="dxa"/>
          </w:tcPr>
          <w:p w14:paraId="25F38A2F">
            <w:pPr>
              <w:pStyle w:val="16"/>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采购文件规定的技术和服务要求</w:t>
            </w:r>
          </w:p>
        </w:tc>
        <w:tc>
          <w:tcPr>
            <w:tcW w:w="923" w:type="dxa"/>
          </w:tcPr>
          <w:p w14:paraId="4203DB9C">
            <w:pPr>
              <w:pStyle w:val="16"/>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投标文件响应的具体内容</w:t>
            </w:r>
          </w:p>
        </w:tc>
        <w:tc>
          <w:tcPr>
            <w:tcW w:w="923" w:type="dxa"/>
          </w:tcPr>
          <w:p w14:paraId="4EFA38C5">
            <w:pPr>
              <w:pStyle w:val="16"/>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型号</w:t>
            </w:r>
          </w:p>
        </w:tc>
        <w:tc>
          <w:tcPr>
            <w:tcW w:w="923" w:type="dxa"/>
          </w:tcPr>
          <w:p w14:paraId="3948E615">
            <w:pPr>
              <w:pStyle w:val="16"/>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是否偏离</w:t>
            </w:r>
          </w:p>
        </w:tc>
        <w:tc>
          <w:tcPr>
            <w:tcW w:w="923" w:type="dxa"/>
          </w:tcPr>
          <w:p w14:paraId="170365D2">
            <w:pPr>
              <w:pStyle w:val="16"/>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证明文件所在位置</w:t>
            </w:r>
          </w:p>
        </w:tc>
        <w:tc>
          <w:tcPr>
            <w:tcW w:w="923" w:type="dxa"/>
          </w:tcPr>
          <w:p w14:paraId="4E8E0646">
            <w:pPr>
              <w:pStyle w:val="16"/>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备注</w:t>
            </w:r>
          </w:p>
        </w:tc>
      </w:tr>
      <w:tr w14:paraId="13721A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2906D920">
            <w:pPr>
              <w:pStyle w:val="16"/>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p>
        </w:tc>
        <w:tc>
          <w:tcPr>
            <w:tcW w:w="923" w:type="dxa"/>
          </w:tcPr>
          <w:p w14:paraId="614CA99F">
            <w:pPr>
              <w:spacing w:line="360" w:lineRule="auto"/>
              <w:rPr>
                <w:rFonts w:hint="eastAsia" w:ascii="仿宋" w:hAnsi="仿宋" w:eastAsia="仿宋" w:cs="仿宋"/>
                <w:color w:val="auto"/>
                <w:sz w:val="28"/>
                <w:szCs w:val="28"/>
                <w:highlight w:val="none"/>
              </w:rPr>
            </w:pPr>
          </w:p>
        </w:tc>
        <w:tc>
          <w:tcPr>
            <w:tcW w:w="923" w:type="dxa"/>
          </w:tcPr>
          <w:p w14:paraId="7C9BEB68">
            <w:pPr>
              <w:spacing w:line="360" w:lineRule="auto"/>
              <w:rPr>
                <w:rFonts w:hint="eastAsia" w:ascii="仿宋" w:hAnsi="仿宋" w:eastAsia="仿宋" w:cs="仿宋"/>
                <w:color w:val="auto"/>
                <w:sz w:val="28"/>
                <w:szCs w:val="28"/>
                <w:highlight w:val="none"/>
              </w:rPr>
            </w:pPr>
          </w:p>
        </w:tc>
        <w:tc>
          <w:tcPr>
            <w:tcW w:w="923" w:type="dxa"/>
          </w:tcPr>
          <w:p w14:paraId="63069493">
            <w:pPr>
              <w:spacing w:line="360" w:lineRule="auto"/>
              <w:rPr>
                <w:rFonts w:hint="eastAsia" w:ascii="仿宋" w:hAnsi="仿宋" w:eastAsia="仿宋" w:cs="仿宋"/>
                <w:color w:val="auto"/>
                <w:sz w:val="28"/>
                <w:szCs w:val="28"/>
                <w:highlight w:val="none"/>
              </w:rPr>
            </w:pPr>
          </w:p>
        </w:tc>
        <w:tc>
          <w:tcPr>
            <w:tcW w:w="923" w:type="dxa"/>
          </w:tcPr>
          <w:p w14:paraId="106F62F9">
            <w:pPr>
              <w:spacing w:line="360" w:lineRule="auto"/>
              <w:rPr>
                <w:rFonts w:hint="eastAsia" w:ascii="仿宋" w:hAnsi="仿宋" w:eastAsia="仿宋" w:cs="仿宋"/>
                <w:color w:val="auto"/>
                <w:sz w:val="28"/>
                <w:szCs w:val="28"/>
                <w:highlight w:val="none"/>
              </w:rPr>
            </w:pPr>
          </w:p>
        </w:tc>
        <w:tc>
          <w:tcPr>
            <w:tcW w:w="923" w:type="dxa"/>
          </w:tcPr>
          <w:p w14:paraId="47055A2F">
            <w:pPr>
              <w:spacing w:line="360" w:lineRule="auto"/>
              <w:rPr>
                <w:rFonts w:hint="eastAsia" w:ascii="仿宋" w:hAnsi="仿宋" w:eastAsia="仿宋" w:cs="仿宋"/>
                <w:color w:val="auto"/>
                <w:sz w:val="28"/>
                <w:szCs w:val="28"/>
                <w:highlight w:val="none"/>
              </w:rPr>
            </w:pPr>
          </w:p>
        </w:tc>
        <w:tc>
          <w:tcPr>
            <w:tcW w:w="923" w:type="dxa"/>
          </w:tcPr>
          <w:p w14:paraId="69266A57">
            <w:pPr>
              <w:spacing w:line="360" w:lineRule="auto"/>
              <w:rPr>
                <w:rFonts w:hint="eastAsia" w:ascii="仿宋" w:hAnsi="仿宋" w:eastAsia="仿宋" w:cs="仿宋"/>
                <w:color w:val="auto"/>
                <w:sz w:val="28"/>
                <w:szCs w:val="28"/>
                <w:highlight w:val="none"/>
              </w:rPr>
            </w:pPr>
          </w:p>
        </w:tc>
        <w:tc>
          <w:tcPr>
            <w:tcW w:w="923" w:type="dxa"/>
          </w:tcPr>
          <w:p w14:paraId="164C3F3A">
            <w:pPr>
              <w:spacing w:line="360" w:lineRule="auto"/>
              <w:rPr>
                <w:rFonts w:hint="eastAsia" w:ascii="仿宋" w:hAnsi="仿宋" w:eastAsia="仿宋" w:cs="仿宋"/>
                <w:color w:val="auto"/>
                <w:sz w:val="28"/>
                <w:szCs w:val="28"/>
                <w:highlight w:val="none"/>
              </w:rPr>
            </w:pPr>
          </w:p>
        </w:tc>
        <w:tc>
          <w:tcPr>
            <w:tcW w:w="923" w:type="dxa"/>
          </w:tcPr>
          <w:p w14:paraId="048FC14E">
            <w:pPr>
              <w:spacing w:line="360" w:lineRule="auto"/>
              <w:rPr>
                <w:rFonts w:hint="eastAsia" w:ascii="仿宋" w:hAnsi="仿宋" w:eastAsia="仿宋" w:cs="仿宋"/>
                <w:color w:val="auto"/>
                <w:sz w:val="28"/>
                <w:szCs w:val="28"/>
                <w:highlight w:val="none"/>
              </w:rPr>
            </w:pPr>
          </w:p>
        </w:tc>
      </w:tr>
      <w:tr w14:paraId="5408C7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6A2905EF">
            <w:pPr>
              <w:pStyle w:val="16"/>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w:t>
            </w:r>
          </w:p>
        </w:tc>
        <w:tc>
          <w:tcPr>
            <w:tcW w:w="923" w:type="dxa"/>
          </w:tcPr>
          <w:p w14:paraId="764CA6D4">
            <w:pPr>
              <w:spacing w:line="360" w:lineRule="auto"/>
              <w:rPr>
                <w:rFonts w:hint="eastAsia" w:ascii="仿宋" w:hAnsi="仿宋" w:eastAsia="仿宋" w:cs="仿宋"/>
                <w:color w:val="auto"/>
                <w:sz w:val="28"/>
                <w:szCs w:val="28"/>
                <w:highlight w:val="none"/>
              </w:rPr>
            </w:pPr>
          </w:p>
        </w:tc>
        <w:tc>
          <w:tcPr>
            <w:tcW w:w="923" w:type="dxa"/>
          </w:tcPr>
          <w:p w14:paraId="6BF9A4A2">
            <w:pPr>
              <w:spacing w:line="360" w:lineRule="auto"/>
              <w:rPr>
                <w:rFonts w:hint="eastAsia" w:ascii="仿宋" w:hAnsi="仿宋" w:eastAsia="仿宋" w:cs="仿宋"/>
                <w:color w:val="auto"/>
                <w:sz w:val="28"/>
                <w:szCs w:val="28"/>
                <w:highlight w:val="none"/>
              </w:rPr>
            </w:pPr>
          </w:p>
        </w:tc>
        <w:tc>
          <w:tcPr>
            <w:tcW w:w="923" w:type="dxa"/>
          </w:tcPr>
          <w:p w14:paraId="75C08882">
            <w:pPr>
              <w:spacing w:line="360" w:lineRule="auto"/>
              <w:rPr>
                <w:rFonts w:hint="eastAsia" w:ascii="仿宋" w:hAnsi="仿宋" w:eastAsia="仿宋" w:cs="仿宋"/>
                <w:color w:val="auto"/>
                <w:sz w:val="28"/>
                <w:szCs w:val="28"/>
                <w:highlight w:val="none"/>
              </w:rPr>
            </w:pPr>
          </w:p>
        </w:tc>
        <w:tc>
          <w:tcPr>
            <w:tcW w:w="923" w:type="dxa"/>
          </w:tcPr>
          <w:p w14:paraId="76D6AD36">
            <w:pPr>
              <w:spacing w:line="360" w:lineRule="auto"/>
              <w:rPr>
                <w:rFonts w:hint="eastAsia" w:ascii="仿宋" w:hAnsi="仿宋" w:eastAsia="仿宋" w:cs="仿宋"/>
                <w:color w:val="auto"/>
                <w:sz w:val="28"/>
                <w:szCs w:val="28"/>
                <w:highlight w:val="none"/>
              </w:rPr>
            </w:pPr>
          </w:p>
        </w:tc>
        <w:tc>
          <w:tcPr>
            <w:tcW w:w="923" w:type="dxa"/>
          </w:tcPr>
          <w:p w14:paraId="0646D228">
            <w:pPr>
              <w:spacing w:line="360" w:lineRule="auto"/>
              <w:rPr>
                <w:rFonts w:hint="eastAsia" w:ascii="仿宋" w:hAnsi="仿宋" w:eastAsia="仿宋" w:cs="仿宋"/>
                <w:color w:val="auto"/>
                <w:sz w:val="28"/>
                <w:szCs w:val="28"/>
                <w:highlight w:val="none"/>
              </w:rPr>
            </w:pPr>
          </w:p>
        </w:tc>
        <w:tc>
          <w:tcPr>
            <w:tcW w:w="923" w:type="dxa"/>
          </w:tcPr>
          <w:p w14:paraId="13ABEE67">
            <w:pPr>
              <w:spacing w:line="360" w:lineRule="auto"/>
              <w:rPr>
                <w:rFonts w:hint="eastAsia" w:ascii="仿宋" w:hAnsi="仿宋" w:eastAsia="仿宋" w:cs="仿宋"/>
                <w:color w:val="auto"/>
                <w:sz w:val="28"/>
                <w:szCs w:val="28"/>
                <w:highlight w:val="none"/>
              </w:rPr>
            </w:pPr>
          </w:p>
        </w:tc>
        <w:tc>
          <w:tcPr>
            <w:tcW w:w="923" w:type="dxa"/>
          </w:tcPr>
          <w:p w14:paraId="3FE4A699">
            <w:pPr>
              <w:spacing w:line="360" w:lineRule="auto"/>
              <w:rPr>
                <w:rFonts w:hint="eastAsia" w:ascii="仿宋" w:hAnsi="仿宋" w:eastAsia="仿宋" w:cs="仿宋"/>
                <w:color w:val="auto"/>
                <w:sz w:val="28"/>
                <w:szCs w:val="28"/>
                <w:highlight w:val="none"/>
              </w:rPr>
            </w:pPr>
          </w:p>
        </w:tc>
        <w:tc>
          <w:tcPr>
            <w:tcW w:w="923" w:type="dxa"/>
          </w:tcPr>
          <w:p w14:paraId="7669D065">
            <w:pPr>
              <w:spacing w:line="360" w:lineRule="auto"/>
              <w:rPr>
                <w:rFonts w:hint="eastAsia" w:ascii="仿宋" w:hAnsi="仿宋" w:eastAsia="仿宋" w:cs="仿宋"/>
                <w:color w:val="auto"/>
                <w:sz w:val="28"/>
                <w:szCs w:val="28"/>
                <w:highlight w:val="none"/>
              </w:rPr>
            </w:pPr>
          </w:p>
        </w:tc>
      </w:tr>
      <w:tr w14:paraId="205EE2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6FF0B58F">
            <w:pPr>
              <w:pStyle w:val="16"/>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w:t>
            </w:r>
          </w:p>
        </w:tc>
        <w:tc>
          <w:tcPr>
            <w:tcW w:w="923" w:type="dxa"/>
          </w:tcPr>
          <w:p w14:paraId="21E9EB07">
            <w:pPr>
              <w:spacing w:line="360" w:lineRule="auto"/>
              <w:rPr>
                <w:rFonts w:hint="eastAsia" w:ascii="仿宋" w:hAnsi="仿宋" w:eastAsia="仿宋" w:cs="仿宋"/>
                <w:color w:val="auto"/>
                <w:sz w:val="28"/>
                <w:szCs w:val="28"/>
                <w:highlight w:val="none"/>
              </w:rPr>
            </w:pPr>
          </w:p>
        </w:tc>
        <w:tc>
          <w:tcPr>
            <w:tcW w:w="923" w:type="dxa"/>
          </w:tcPr>
          <w:p w14:paraId="7D918D52">
            <w:pPr>
              <w:spacing w:line="360" w:lineRule="auto"/>
              <w:rPr>
                <w:rFonts w:hint="eastAsia" w:ascii="仿宋" w:hAnsi="仿宋" w:eastAsia="仿宋" w:cs="仿宋"/>
                <w:color w:val="auto"/>
                <w:sz w:val="28"/>
                <w:szCs w:val="28"/>
                <w:highlight w:val="none"/>
              </w:rPr>
            </w:pPr>
          </w:p>
        </w:tc>
        <w:tc>
          <w:tcPr>
            <w:tcW w:w="923" w:type="dxa"/>
          </w:tcPr>
          <w:p w14:paraId="58796219">
            <w:pPr>
              <w:spacing w:line="360" w:lineRule="auto"/>
              <w:rPr>
                <w:rFonts w:hint="eastAsia" w:ascii="仿宋" w:hAnsi="仿宋" w:eastAsia="仿宋" w:cs="仿宋"/>
                <w:color w:val="auto"/>
                <w:sz w:val="28"/>
                <w:szCs w:val="28"/>
                <w:highlight w:val="none"/>
              </w:rPr>
            </w:pPr>
          </w:p>
        </w:tc>
        <w:tc>
          <w:tcPr>
            <w:tcW w:w="923" w:type="dxa"/>
          </w:tcPr>
          <w:p w14:paraId="7A3B6859">
            <w:pPr>
              <w:spacing w:line="360" w:lineRule="auto"/>
              <w:rPr>
                <w:rFonts w:hint="eastAsia" w:ascii="仿宋" w:hAnsi="仿宋" w:eastAsia="仿宋" w:cs="仿宋"/>
                <w:color w:val="auto"/>
                <w:sz w:val="28"/>
                <w:szCs w:val="28"/>
                <w:highlight w:val="none"/>
              </w:rPr>
            </w:pPr>
          </w:p>
        </w:tc>
        <w:tc>
          <w:tcPr>
            <w:tcW w:w="923" w:type="dxa"/>
          </w:tcPr>
          <w:p w14:paraId="5C11B951">
            <w:pPr>
              <w:spacing w:line="360" w:lineRule="auto"/>
              <w:rPr>
                <w:rFonts w:hint="eastAsia" w:ascii="仿宋" w:hAnsi="仿宋" w:eastAsia="仿宋" w:cs="仿宋"/>
                <w:color w:val="auto"/>
                <w:sz w:val="28"/>
                <w:szCs w:val="28"/>
                <w:highlight w:val="none"/>
              </w:rPr>
            </w:pPr>
          </w:p>
        </w:tc>
        <w:tc>
          <w:tcPr>
            <w:tcW w:w="923" w:type="dxa"/>
          </w:tcPr>
          <w:p w14:paraId="6570FCE7">
            <w:pPr>
              <w:spacing w:line="360" w:lineRule="auto"/>
              <w:rPr>
                <w:rFonts w:hint="eastAsia" w:ascii="仿宋" w:hAnsi="仿宋" w:eastAsia="仿宋" w:cs="仿宋"/>
                <w:color w:val="auto"/>
                <w:sz w:val="28"/>
                <w:szCs w:val="28"/>
                <w:highlight w:val="none"/>
              </w:rPr>
            </w:pPr>
          </w:p>
        </w:tc>
        <w:tc>
          <w:tcPr>
            <w:tcW w:w="923" w:type="dxa"/>
          </w:tcPr>
          <w:p w14:paraId="08002608">
            <w:pPr>
              <w:spacing w:line="360" w:lineRule="auto"/>
              <w:rPr>
                <w:rFonts w:hint="eastAsia" w:ascii="仿宋" w:hAnsi="仿宋" w:eastAsia="仿宋" w:cs="仿宋"/>
                <w:color w:val="auto"/>
                <w:sz w:val="28"/>
                <w:szCs w:val="28"/>
                <w:highlight w:val="none"/>
              </w:rPr>
            </w:pPr>
          </w:p>
        </w:tc>
        <w:tc>
          <w:tcPr>
            <w:tcW w:w="923" w:type="dxa"/>
          </w:tcPr>
          <w:p w14:paraId="11E211E8">
            <w:pPr>
              <w:spacing w:line="360" w:lineRule="auto"/>
              <w:rPr>
                <w:rFonts w:hint="eastAsia" w:ascii="仿宋" w:hAnsi="仿宋" w:eastAsia="仿宋" w:cs="仿宋"/>
                <w:color w:val="auto"/>
                <w:sz w:val="28"/>
                <w:szCs w:val="28"/>
                <w:highlight w:val="none"/>
              </w:rPr>
            </w:pPr>
          </w:p>
        </w:tc>
      </w:tr>
      <w:tr w14:paraId="27925B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49760CF3">
            <w:pPr>
              <w:pStyle w:val="16"/>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w:t>
            </w:r>
          </w:p>
        </w:tc>
        <w:tc>
          <w:tcPr>
            <w:tcW w:w="923" w:type="dxa"/>
          </w:tcPr>
          <w:p w14:paraId="60B54F93">
            <w:pPr>
              <w:spacing w:line="360" w:lineRule="auto"/>
              <w:rPr>
                <w:rFonts w:hint="eastAsia" w:ascii="仿宋" w:hAnsi="仿宋" w:eastAsia="仿宋" w:cs="仿宋"/>
                <w:color w:val="auto"/>
                <w:sz w:val="28"/>
                <w:szCs w:val="28"/>
                <w:highlight w:val="none"/>
              </w:rPr>
            </w:pPr>
          </w:p>
        </w:tc>
        <w:tc>
          <w:tcPr>
            <w:tcW w:w="923" w:type="dxa"/>
          </w:tcPr>
          <w:p w14:paraId="398B6D7C">
            <w:pPr>
              <w:spacing w:line="360" w:lineRule="auto"/>
              <w:rPr>
                <w:rFonts w:hint="eastAsia" w:ascii="仿宋" w:hAnsi="仿宋" w:eastAsia="仿宋" w:cs="仿宋"/>
                <w:color w:val="auto"/>
                <w:sz w:val="28"/>
                <w:szCs w:val="28"/>
                <w:highlight w:val="none"/>
              </w:rPr>
            </w:pPr>
          </w:p>
        </w:tc>
        <w:tc>
          <w:tcPr>
            <w:tcW w:w="923" w:type="dxa"/>
          </w:tcPr>
          <w:p w14:paraId="12D72170">
            <w:pPr>
              <w:spacing w:line="360" w:lineRule="auto"/>
              <w:rPr>
                <w:rFonts w:hint="eastAsia" w:ascii="仿宋" w:hAnsi="仿宋" w:eastAsia="仿宋" w:cs="仿宋"/>
                <w:color w:val="auto"/>
                <w:sz w:val="28"/>
                <w:szCs w:val="28"/>
                <w:highlight w:val="none"/>
              </w:rPr>
            </w:pPr>
          </w:p>
        </w:tc>
        <w:tc>
          <w:tcPr>
            <w:tcW w:w="923" w:type="dxa"/>
          </w:tcPr>
          <w:p w14:paraId="4D41E858">
            <w:pPr>
              <w:spacing w:line="360" w:lineRule="auto"/>
              <w:rPr>
                <w:rFonts w:hint="eastAsia" w:ascii="仿宋" w:hAnsi="仿宋" w:eastAsia="仿宋" w:cs="仿宋"/>
                <w:color w:val="auto"/>
                <w:sz w:val="28"/>
                <w:szCs w:val="28"/>
                <w:highlight w:val="none"/>
              </w:rPr>
            </w:pPr>
          </w:p>
        </w:tc>
        <w:tc>
          <w:tcPr>
            <w:tcW w:w="923" w:type="dxa"/>
          </w:tcPr>
          <w:p w14:paraId="1AD12505">
            <w:pPr>
              <w:spacing w:line="360" w:lineRule="auto"/>
              <w:rPr>
                <w:rFonts w:hint="eastAsia" w:ascii="仿宋" w:hAnsi="仿宋" w:eastAsia="仿宋" w:cs="仿宋"/>
                <w:color w:val="auto"/>
                <w:sz w:val="28"/>
                <w:szCs w:val="28"/>
                <w:highlight w:val="none"/>
              </w:rPr>
            </w:pPr>
          </w:p>
        </w:tc>
        <w:tc>
          <w:tcPr>
            <w:tcW w:w="923" w:type="dxa"/>
          </w:tcPr>
          <w:p w14:paraId="775EB2C6">
            <w:pPr>
              <w:spacing w:line="360" w:lineRule="auto"/>
              <w:rPr>
                <w:rFonts w:hint="eastAsia" w:ascii="仿宋" w:hAnsi="仿宋" w:eastAsia="仿宋" w:cs="仿宋"/>
                <w:color w:val="auto"/>
                <w:sz w:val="28"/>
                <w:szCs w:val="28"/>
                <w:highlight w:val="none"/>
              </w:rPr>
            </w:pPr>
          </w:p>
        </w:tc>
        <w:tc>
          <w:tcPr>
            <w:tcW w:w="923" w:type="dxa"/>
          </w:tcPr>
          <w:p w14:paraId="4DDCC187">
            <w:pPr>
              <w:spacing w:line="360" w:lineRule="auto"/>
              <w:rPr>
                <w:rFonts w:hint="eastAsia" w:ascii="仿宋" w:hAnsi="仿宋" w:eastAsia="仿宋" w:cs="仿宋"/>
                <w:color w:val="auto"/>
                <w:sz w:val="28"/>
                <w:szCs w:val="28"/>
                <w:highlight w:val="none"/>
              </w:rPr>
            </w:pPr>
          </w:p>
        </w:tc>
        <w:tc>
          <w:tcPr>
            <w:tcW w:w="923" w:type="dxa"/>
          </w:tcPr>
          <w:p w14:paraId="07669E4D">
            <w:pPr>
              <w:spacing w:line="360" w:lineRule="auto"/>
              <w:rPr>
                <w:rFonts w:hint="eastAsia" w:ascii="仿宋" w:hAnsi="仿宋" w:eastAsia="仿宋" w:cs="仿宋"/>
                <w:color w:val="auto"/>
                <w:sz w:val="28"/>
                <w:szCs w:val="28"/>
                <w:highlight w:val="none"/>
              </w:rPr>
            </w:pPr>
          </w:p>
        </w:tc>
      </w:tr>
      <w:tr w14:paraId="06CAB9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58C8D727">
            <w:pPr>
              <w:pStyle w:val="16"/>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w:t>
            </w:r>
          </w:p>
        </w:tc>
        <w:tc>
          <w:tcPr>
            <w:tcW w:w="923" w:type="dxa"/>
          </w:tcPr>
          <w:p w14:paraId="347AE109">
            <w:pPr>
              <w:spacing w:line="360" w:lineRule="auto"/>
              <w:rPr>
                <w:rFonts w:hint="eastAsia" w:ascii="仿宋" w:hAnsi="仿宋" w:eastAsia="仿宋" w:cs="仿宋"/>
                <w:color w:val="auto"/>
                <w:sz w:val="28"/>
                <w:szCs w:val="28"/>
                <w:highlight w:val="none"/>
              </w:rPr>
            </w:pPr>
          </w:p>
        </w:tc>
        <w:tc>
          <w:tcPr>
            <w:tcW w:w="923" w:type="dxa"/>
          </w:tcPr>
          <w:p w14:paraId="220CDDEF">
            <w:pPr>
              <w:spacing w:line="360" w:lineRule="auto"/>
              <w:rPr>
                <w:rFonts w:hint="eastAsia" w:ascii="仿宋" w:hAnsi="仿宋" w:eastAsia="仿宋" w:cs="仿宋"/>
                <w:color w:val="auto"/>
                <w:sz w:val="28"/>
                <w:szCs w:val="28"/>
                <w:highlight w:val="none"/>
              </w:rPr>
            </w:pPr>
          </w:p>
        </w:tc>
        <w:tc>
          <w:tcPr>
            <w:tcW w:w="923" w:type="dxa"/>
          </w:tcPr>
          <w:p w14:paraId="50159AF3">
            <w:pPr>
              <w:spacing w:line="360" w:lineRule="auto"/>
              <w:rPr>
                <w:rFonts w:hint="eastAsia" w:ascii="仿宋" w:hAnsi="仿宋" w:eastAsia="仿宋" w:cs="仿宋"/>
                <w:color w:val="auto"/>
                <w:sz w:val="28"/>
                <w:szCs w:val="28"/>
                <w:highlight w:val="none"/>
              </w:rPr>
            </w:pPr>
          </w:p>
        </w:tc>
        <w:tc>
          <w:tcPr>
            <w:tcW w:w="923" w:type="dxa"/>
          </w:tcPr>
          <w:p w14:paraId="40FE958B">
            <w:pPr>
              <w:spacing w:line="360" w:lineRule="auto"/>
              <w:rPr>
                <w:rFonts w:hint="eastAsia" w:ascii="仿宋" w:hAnsi="仿宋" w:eastAsia="仿宋" w:cs="仿宋"/>
                <w:color w:val="auto"/>
                <w:sz w:val="28"/>
                <w:szCs w:val="28"/>
                <w:highlight w:val="none"/>
              </w:rPr>
            </w:pPr>
          </w:p>
        </w:tc>
        <w:tc>
          <w:tcPr>
            <w:tcW w:w="923" w:type="dxa"/>
          </w:tcPr>
          <w:p w14:paraId="63F0E404">
            <w:pPr>
              <w:spacing w:line="360" w:lineRule="auto"/>
              <w:rPr>
                <w:rFonts w:hint="eastAsia" w:ascii="仿宋" w:hAnsi="仿宋" w:eastAsia="仿宋" w:cs="仿宋"/>
                <w:color w:val="auto"/>
                <w:sz w:val="28"/>
                <w:szCs w:val="28"/>
                <w:highlight w:val="none"/>
              </w:rPr>
            </w:pPr>
          </w:p>
        </w:tc>
        <w:tc>
          <w:tcPr>
            <w:tcW w:w="923" w:type="dxa"/>
          </w:tcPr>
          <w:p w14:paraId="517BC004">
            <w:pPr>
              <w:spacing w:line="360" w:lineRule="auto"/>
              <w:rPr>
                <w:rFonts w:hint="eastAsia" w:ascii="仿宋" w:hAnsi="仿宋" w:eastAsia="仿宋" w:cs="仿宋"/>
                <w:color w:val="auto"/>
                <w:sz w:val="28"/>
                <w:szCs w:val="28"/>
                <w:highlight w:val="none"/>
              </w:rPr>
            </w:pPr>
          </w:p>
        </w:tc>
        <w:tc>
          <w:tcPr>
            <w:tcW w:w="923" w:type="dxa"/>
          </w:tcPr>
          <w:p w14:paraId="1C1DFEBD">
            <w:pPr>
              <w:spacing w:line="360" w:lineRule="auto"/>
              <w:rPr>
                <w:rFonts w:hint="eastAsia" w:ascii="仿宋" w:hAnsi="仿宋" w:eastAsia="仿宋" w:cs="仿宋"/>
                <w:color w:val="auto"/>
                <w:sz w:val="28"/>
                <w:szCs w:val="28"/>
                <w:highlight w:val="none"/>
              </w:rPr>
            </w:pPr>
          </w:p>
        </w:tc>
        <w:tc>
          <w:tcPr>
            <w:tcW w:w="923" w:type="dxa"/>
          </w:tcPr>
          <w:p w14:paraId="6245F69B">
            <w:pPr>
              <w:spacing w:line="360" w:lineRule="auto"/>
              <w:rPr>
                <w:rFonts w:hint="eastAsia" w:ascii="仿宋" w:hAnsi="仿宋" w:eastAsia="仿宋" w:cs="仿宋"/>
                <w:color w:val="auto"/>
                <w:sz w:val="28"/>
                <w:szCs w:val="28"/>
                <w:highlight w:val="none"/>
              </w:rPr>
            </w:pPr>
          </w:p>
        </w:tc>
      </w:tr>
      <w:tr w14:paraId="0AC510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547410EE">
            <w:pPr>
              <w:pStyle w:val="16"/>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w:t>
            </w:r>
          </w:p>
        </w:tc>
        <w:tc>
          <w:tcPr>
            <w:tcW w:w="923" w:type="dxa"/>
          </w:tcPr>
          <w:p w14:paraId="03312E4F">
            <w:pPr>
              <w:spacing w:line="360" w:lineRule="auto"/>
              <w:rPr>
                <w:rFonts w:hint="eastAsia" w:ascii="仿宋" w:hAnsi="仿宋" w:eastAsia="仿宋" w:cs="仿宋"/>
                <w:color w:val="auto"/>
                <w:sz w:val="28"/>
                <w:szCs w:val="28"/>
                <w:highlight w:val="none"/>
              </w:rPr>
            </w:pPr>
          </w:p>
        </w:tc>
        <w:tc>
          <w:tcPr>
            <w:tcW w:w="923" w:type="dxa"/>
          </w:tcPr>
          <w:p w14:paraId="230FE111">
            <w:pPr>
              <w:spacing w:line="360" w:lineRule="auto"/>
              <w:rPr>
                <w:rFonts w:hint="eastAsia" w:ascii="仿宋" w:hAnsi="仿宋" w:eastAsia="仿宋" w:cs="仿宋"/>
                <w:color w:val="auto"/>
                <w:sz w:val="28"/>
                <w:szCs w:val="28"/>
                <w:highlight w:val="none"/>
              </w:rPr>
            </w:pPr>
          </w:p>
        </w:tc>
        <w:tc>
          <w:tcPr>
            <w:tcW w:w="923" w:type="dxa"/>
          </w:tcPr>
          <w:p w14:paraId="052099E1">
            <w:pPr>
              <w:spacing w:line="360" w:lineRule="auto"/>
              <w:rPr>
                <w:rFonts w:hint="eastAsia" w:ascii="仿宋" w:hAnsi="仿宋" w:eastAsia="仿宋" w:cs="仿宋"/>
                <w:color w:val="auto"/>
                <w:sz w:val="28"/>
                <w:szCs w:val="28"/>
                <w:highlight w:val="none"/>
              </w:rPr>
            </w:pPr>
          </w:p>
        </w:tc>
        <w:tc>
          <w:tcPr>
            <w:tcW w:w="923" w:type="dxa"/>
          </w:tcPr>
          <w:p w14:paraId="1A6C1F66">
            <w:pPr>
              <w:spacing w:line="360" w:lineRule="auto"/>
              <w:rPr>
                <w:rFonts w:hint="eastAsia" w:ascii="仿宋" w:hAnsi="仿宋" w:eastAsia="仿宋" w:cs="仿宋"/>
                <w:color w:val="auto"/>
                <w:sz w:val="28"/>
                <w:szCs w:val="28"/>
                <w:highlight w:val="none"/>
              </w:rPr>
            </w:pPr>
          </w:p>
        </w:tc>
        <w:tc>
          <w:tcPr>
            <w:tcW w:w="923" w:type="dxa"/>
          </w:tcPr>
          <w:p w14:paraId="043FC64C">
            <w:pPr>
              <w:spacing w:line="360" w:lineRule="auto"/>
              <w:rPr>
                <w:rFonts w:hint="eastAsia" w:ascii="仿宋" w:hAnsi="仿宋" w:eastAsia="仿宋" w:cs="仿宋"/>
                <w:color w:val="auto"/>
                <w:sz w:val="28"/>
                <w:szCs w:val="28"/>
                <w:highlight w:val="none"/>
              </w:rPr>
            </w:pPr>
          </w:p>
        </w:tc>
        <w:tc>
          <w:tcPr>
            <w:tcW w:w="923" w:type="dxa"/>
          </w:tcPr>
          <w:p w14:paraId="49AB9DD7">
            <w:pPr>
              <w:spacing w:line="360" w:lineRule="auto"/>
              <w:rPr>
                <w:rFonts w:hint="eastAsia" w:ascii="仿宋" w:hAnsi="仿宋" w:eastAsia="仿宋" w:cs="仿宋"/>
                <w:color w:val="auto"/>
                <w:sz w:val="28"/>
                <w:szCs w:val="28"/>
                <w:highlight w:val="none"/>
              </w:rPr>
            </w:pPr>
          </w:p>
        </w:tc>
        <w:tc>
          <w:tcPr>
            <w:tcW w:w="923" w:type="dxa"/>
          </w:tcPr>
          <w:p w14:paraId="4CA483A4">
            <w:pPr>
              <w:spacing w:line="360" w:lineRule="auto"/>
              <w:rPr>
                <w:rFonts w:hint="eastAsia" w:ascii="仿宋" w:hAnsi="仿宋" w:eastAsia="仿宋" w:cs="仿宋"/>
                <w:color w:val="auto"/>
                <w:sz w:val="28"/>
                <w:szCs w:val="28"/>
                <w:highlight w:val="none"/>
              </w:rPr>
            </w:pPr>
          </w:p>
        </w:tc>
        <w:tc>
          <w:tcPr>
            <w:tcW w:w="923" w:type="dxa"/>
          </w:tcPr>
          <w:p w14:paraId="06E62F59">
            <w:pPr>
              <w:spacing w:line="360" w:lineRule="auto"/>
              <w:rPr>
                <w:rFonts w:hint="eastAsia" w:ascii="仿宋" w:hAnsi="仿宋" w:eastAsia="仿宋" w:cs="仿宋"/>
                <w:color w:val="auto"/>
                <w:sz w:val="28"/>
                <w:szCs w:val="28"/>
                <w:highlight w:val="none"/>
              </w:rPr>
            </w:pPr>
          </w:p>
        </w:tc>
      </w:tr>
      <w:tr w14:paraId="0106C8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1FB64EF3">
            <w:pPr>
              <w:pStyle w:val="16"/>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w:t>
            </w:r>
          </w:p>
        </w:tc>
        <w:tc>
          <w:tcPr>
            <w:tcW w:w="923" w:type="dxa"/>
          </w:tcPr>
          <w:p w14:paraId="52D579C5">
            <w:pPr>
              <w:spacing w:line="360" w:lineRule="auto"/>
              <w:rPr>
                <w:rFonts w:hint="eastAsia" w:ascii="仿宋" w:hAnsi="仿宋" w:eastAsia="仿宋" w:cs="仿宋"/>
                <w:color w:val="auto"/>
                <w:sz w:val="28"/>
                <w:szCs w:val="28"/>
                <w:highlight w:val="none"/>
              </w:rPr>
            </w:pPr>
          </w:p>
        </w:tc>
        <w:tc>
          <w:tcPr>
            <w:tcW w:w="923" w:type="dxa"/>
          </w:tcPr>
          <w:p w14:paraId="3DD61392">
            <w:pPr>
              <w:spacing w:line="360" w:lineRule="auto"/>
              <w:rPr>
                <w:rFonts w:hint="eastAsia" w:ascii="仿宋" w:hAnsi="仿宋" w:eastAsia="仿宋" w:cs="仿宋"/>
                <w:color w:val="auto"/>
                <w:sz w:val="28"/>
                <w:szCs w:val="28"/>
                <w:highlight w:val="none"/>
              </w:rPr>
            </w:pPr>
          </w:p>
        </w:tc>
        <w:tc>
          <w:tcPr>
            <w:tcW w:w="923" w:type="dxa"/>
          </w:tcPr>
          <w:p w14:paraId="07E23E3B">
            <w:pPr>
              <w:spacing w:line="360" w:lineRule="auto"/>
              <w:rPr>
                <w:rFonts w:hint="eastAsia" w:ascii="仿宋" w:hAnsi="仿宋" w:eastAsia="仿宋" w:cs="仿宋"/>
                <w:color w:val="auto"/>
                <w:sz w:val="28"/>
                <w:szCs w:val="28"/>
                <w:highlight w:val="none"/>
              </w:rPr>
            </w:pPr>
          </w:p>
        </w:tc>
        <w:tc>
          <w:tcPr>
            <w:tcW w:w="923" w:type="dxa"/>
          </w:tcPr>
          <w:p w14:paraId="03908AD1">
            <w:pPr>
              <w:spacing w:line="360" w:lineRule="auto"/>
              <w:rPr>
                <w:rFonts w:hint="eastAsia" w:ascii="仿宋" w:hAnsi="仿宋" w:eastAsia="仿宋" w:cs="仿宋"/>
                <w:color w:val="auto"/>
                <w:sz w:val="28"/>
                <w:szCs w:val="28"/>
                <w:highlight w:val="none"/>
              </w:rPr>
            </w:pPr>
          </w:p>
        </w:tc>
        <w:tc>
          <w:tcPr>
            <w:tcW w:w="923" w:type="dxa"/>
          </w:tcPr>
          <w:p w14:paraId="48B6262A">
            <w:pPr>
              <w:spacing w:line="360" w:lineRule="auto"/>
              <w:rPr>
                <w:rFonts w:hint="eastAsia" w:ascii="仿宋" w:hAnsi="仿宋" w:eastAsia="仿宋" w:cs="仿宋"/>
                <w:color w:val="auto"/>
                <w:sz w:val="28"/>
                <w:szCs w:val="28"/>
                <w:highlight w:val="none"/>
              </w:rPr>
            </w:pPr>
          </w:p>
        </w:tc>
        <w:tc>
          <w:tcPr>
            <w:tcW w:w="923" w:type="dxa"/>
          </w:tcPr>
          <w:p w14:paraId="7D2A5278">
            <w:pPr>
              <w:spacing w:line="360" w:lineRule="auto"/>
              <w:rPr>
                <w:rFonts w:hint="eastAsia" w:ascii="仿宋" w:hAnsi="仿宋" w:eastAsia="仿宋" w:cs="仿宋"/>
                <w:color w:val="auto"/>
                <w:sz w:val="28"/>
                <w:szCs w:val="28"/>
                <w:highlight w:val="none"/>
              </w:rPr>
            </w:pPr>
          </w:p>
        </w:tc>
        <w:tc>
          <w:tcPr>
            <w:tcW w:w="923" w:type="dxa"/>
          </w:tcPr>
          <w:p w14:paraId="537EF041">
            <w:pPr>
              <w:spacing w:line="360" w:lineRule="auto"/>
              <w:rPr>
                <w:rFonts w:hint="eastAsia" w:ascii="仿宋" w:hAnsi="仿宋" w:eastAsia="仿宋" w:cs="仿宋"/>
                <w:color w:val="auto"/>
                <w:sz w:val="28"/>
                <w:szCs w:val="28"/>
                <w:highlight w:val="none"/>
              </w:rPr>
            </w:pPr>
          </w:p>
        </w:tc>
        <w:tc>
          <w:tcPr>
            <w:tcW w:w="923" w:type="dxa"/>
          </w:tcPr>
          <w:p w14:paraId="5D765532">
            <w:pPr>
              <w:spacing w:line="360" w:lineRule="auto"/>
              <w:rPr>
                <w:rFonts w:hint="eastAsia" w:ascii="仿宋" w:hAnsi="仿宋" w:eastAsia="仿宋" w:cs="仿宋"/>
                <w:color w:val="auto"/>
                <w:sz w:val="28"/>
                <w:szCs w:val="28"/>
                <w:highlight w:val="none"/>
              </w:rPr>
            </w:pPr>
          </w:p>
        </w:tc>
      </w:tr>
    </w:tbl>
    <w:p w14:paraId="6C684E28">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说明：</w:t>
      </w:r>
    </w:p>
    <w:p w14:paraId="1A3DABE1">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14:paraId="3BD661C0">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14:paraId="1216670A">
      <w:pPr>
        <w:pStyle w:val="16"/>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3.“是否偏离”项下应按下列规定填写：优于的，填写“正偏离”；符合的，填写“无偏离”；低于的，填写“负偏离”。</w:t>
      </w:r>
    </w:p>
    <w:p w14:paraId="530E3286">
      <w:pPr>
        <w:pStyle w:val="16"/>
        <w:spacing w:line="360" w:lineRule="auto"/>
        <w:ind w:firstLine="480"/>
        <w:outlineLvl w:val="1"/>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4.“备注”处可填写偏离情况的说明。</w:t>
      </w:r>
    </w:p>
    <w:p w14:paraId="422604FC">
      <w:pP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br w:type="page"/>
      </w:r>
    </w:p>
    <w:p w14:paraId="0689BBFD">
      <w:pPr>
        <w:pStyle w:val="4"/>
        <w:bidi w:val="0"/>
        <w:outlineLvl w:val="2"/>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附件14</w:t>
      </w:r>
      <w:r>
        <w:rPr>
          <w:rFonts w:hint="eastAsia" w:ascii="仿宋" w:hAnsi="仿宋" w:eastAsia="仿宋" w:cs="仿宋"/>
          <w:color w:val="auto"/>
          <w:sz w:val="28"/>
          <w:szCs w:val="28"/>
          <w:highlight w:val="none"/>
        </w:rPr>
        <w:t>：商务条件响应表</w:t>
      </w:r>
    </w:p>
    <w:p w14:paraId="6C8DFB9E">
      <w:pPr>
        <w:pStyle w:val="16"/>
        <w:spacing w:line="360" w:lineRule="auto"/>
        <w:jc w:val="center"/>
        <w:outlineLvl w:val="3"/>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《商务条件响应表》</w:t>
      </w:r>
    </w:p>
    <w:tbl>
      <w:tblPr>
        <w:tblStyle w:val="12"/>
        <w:tblW w:w="4998"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217"/>
        <w:gridCol w:w="1217"/>
        <w:gridCol w:w="1217"/>
        <w:gridCol w:w="1217"/>
        <w:gridCol w:w="1217"/>
        <w:gridCol w:w="1217"/>
        <w:gridCol w:w="1217"/>
      </w:tblGrid>
      <w:tr w14:paraId="283C03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14" w:type="pct"/>
          </w:tcPr>
          <w:p w14:paraId="2B195CA0">
            <w:pPr>
              <w:pStyle w:val="16"/>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序号</w:t>
            </w:r>
          </w:p>
        </w:tc>
        <w:tc>
          <w:tcPr>
            <w:tcW w:w="714" w:type="pct"/>
          </w:tcPr>
          <w:p w14:paraId="0C1E5266">
            <w:pPr>
              <w:pStyle w:val="16"/>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参数性质</w:t>
            </w:r>
          </w:p>
        </w:tc>
        <w:tc>
          <w:tcPr>
            <w:tcW w:w="714" w:type="pct"/>
          </w:tcPr>
          <w:p w14:paraId="1AEFCD30">
            <w:pPr>
              <w:pStyle w:val="16"/>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采购文件规定的商务条件</w:t>
            </w:r>
          </w:p>
        </w:tc>
        <w:tc>
          <w:tcPr>
            <w:tcW w:w="714" w:type="pct"/>
          </w:tcPr>
          <w:p w14:paraId="1AD1BE71">
            <w:pPr>
              <w:pStyle w:val="16"/>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投标文件响应的具体内容</w:t>
            </w:r>
          </w:p>
        </w:tc>
        <w:tc>
          <w:tcPr>
            <w:tcW w:w="714" w:type="pct"/>
          </w:tcPr>
          <w:p w14:paraId="2165D5D5">
            <w:pPr>
              <w:pStyle w:val="16"/>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是否偏离</w:t>
            </w:r>
          </w:p>
        </w:tc>
        <w:tc>
          <w:tcPr>
            <w:tcW w:w="714" w:type="pct"/>
          </w:tcPr>
          <w:p w14:paraId="0259CC69">
            <w:pPr>
              <w:pStyle w:val="16"/>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证明文件所在位置</w:t>
            </w:r>
          </w:p>
        </w:tc>
        <w:tc>
          <w:tcPr>
            <w:tcW w:w="714" w:type="pct"/>
          </w:tcPr>
          <w:p w14:paraId="4EF3430B">
            <w:pPr>
              <w:pStyle w:val="16"/>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备注</w:t>
            </w:r>
          </w:p>
        </w:tc>
      </w:tr>
      <w:tr w14:paraId="2EADF3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14" w:type="pct"/>
          </w:tcPr>
          <w:p w14:paraId="02676072">
            <w:pPr>
              <w:pStyle w:val="16"/>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p>
        </w:tc>
        <w:tc>
          <w:tcPr>
            <w:tcW w:w="714" w:type="pct"/>
          </w:tcPr>
          <w:p w14:paraId="2C813144">
            <w:pPr>
              <w:spacing w:line="360" w:lineRule="auto"/>
              <w:rPr>
                <w:rFonts w:hint="eastAsia" w:ascii="仿宋" w:hAnsi="仿宋" w:eastAsia="仿宋" w:cs="仿宋"/>
                <w:color w:val="auto"/>
                <w:sz w:val="28"/>
                <w:szCs w:val="28"/>
                <w:highlight w:val="none"/>
              </w:rPr>
            </w:pPr>
          </w:p>
        </w:tc>
        <w:tc>
          <w:tcPr>
            <w:tcW w:w="714" w:type="pct"/>
          </w:tcPr>
          <w:p w14:paraId="4E1B2C59">
            <w:pPr>
              <w:spacing w:line="360" w:lineRule="auto"/>
              <w:rPr>
                <w:rFonts w:hint="eastAsia" w:ascii="仿宋" w:hAnsi="仿宋" w:eastAsia="仿宋" w:cs="仿宋"/>
                <w:color w:val="auto"/>
                <w:sz w:val="28"/>
                <w:szCs w:val="28"/>
                <w:highlight w:val="none"/>
              </w:rPr>
            </w:pPr>
          </w:p>
        </w:tc>
        <w:tc>
          <w:tcPr>
            <w:tcW w:w="714" w:type="pct"/>
          </w:tcPr>
          <w:p w14:paraId="118229D8">
            <w:pPr>
              <w:spacing w:line="360" w:lineRule="auto"/>
              <w:rPr>
                <w:rFonts w:hint="eastAsia" w:ascii="仿宋" w:hAnsi="仿宋" w:eastAsia="仿宋" w:cs="仿宋"/>
                <w:color w:val="auto"/>
                <w:sz w:val="28"/>
                <w:szCs w:val="28"/>
                <w:highlight w:val="none"/>
              </w:rPr>
            </w:pPr>
          </w:p>
        </w:tc>
        <w:tc>
          <w:tcPr>
            <w:tcW w:w="714" w:type="pct"/>
          </w:tcPr>
          <w:p w14:paraId="69151A33">
            <w:pPr>
              <w:spacing w:line="360" w:lineRule="auto"/>
              <w:rPr>
                <w:rFonts w:hint="eastAsia" w:ascii="仿宋" w:hAnsi="仿宋" w:eastAsia="仿宋" w:cs="仿宋"/>
                <w:color w:val="auto"/>
                <w:sz w:val="28"/>
                <w:szCs w:val="28"/>
                <w:highlight w:val="none"/>
              </w:rPr>
            </w:pPr>
          </w:p>
        </w:tc>
        <w:tc>
          <w:tcPr>
            <w:tcW w:w="714" w:type="pct"/>
          </w:tcPr>
          <w:p w14:paraId="1A930495">
            <w:pPr>
              <w:spacing w:line="360" w:lineRule="auto"/>
              <w:rPr>
                <w:rFonts w:hint="eastAsia" w:ascii="仿宋" w:hAnsi="仿宋" w:eastAsia="仿宋" w:cs="仿宋"/>
                <w:color w:val="auto"/>
                <w:sz w:val="28"/>
                <w:szCs w:val="28"/>
                <w:highlight w:val="none"/>
              </w:rPr>
            </w:pPr>
          </w:p>
        </w:tc>
        <w:tc>
          <w:tcPr>
            <w:tcW w:w="714" w:type="pct"/>
          </w:tcPr>
          <w:p w14:paraId="22A3AABE">
            <w:pPr>
              <w:spacing w:line="360" w:lineRule="auto"/>
              <w:rPr>
                <w:rFonts w:hint="eastAsia" w:ascii="仿宋" w:hAnsi="仿宋" w:eastAsia="仿宋" w:cs="仿宋"/>
                <w:color w:val="auto"/>
                <w:sz w:val="28"/>
                <w:szCs w:val="28"/>
                <w:highlight w:val="none"/>
              </w:rPr>
            </w:pPr>
          </w:p>
        </w:tc>
      </w:tr>
      <w:tr w14:paraId="5B05FD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14" w:type="pct"/>
          </w:tcPr>
          <w:p w14:paraId="439122FA">
            <w:pPr>
              <w:pStyle w:val="16"/>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w:t>
            </w:r>
          </w:p>
        </w:tc>
        <w:tc>
          <w:tcPr>
            <w:tcW w:w="714" w:type="pct"/>
          </w:tcPr>
          <w:p w14:paraId="26F56135">
            <w:pPr>
              <w:spacing w:line="360" w:lineRule="auto"/>
              <w:rPr>
                <w:rFonts w:hint="eastAsia" w:ascii="仿宋" w:hAnsi="仿宋" w:eastAsia="仿宋" w:cs="仿宋"/>
                <w:color w:val="auto"/>
                <w:sz w:val="28"/>
                <w:szCs w:val="28"/>
                <w:highlight w:val="none"/>
              </w:rPr>
            </w:pPr>
          </w:p>
        </w:tc>
        <w:tc>
          <w:tcPr>
            <w:tcW w:w="714" w:type="pct"/>
          </w:tcPr>
          <w:p w14:paraId="42D6F88E">
            <w:pPr>
              <w:spacing w:line="360" w:lineRule="auto"/>
              <w:rPr>
                <w:rFonts w:hint="eastAsia" w:ascii="仿宋" w:hAnsi="仿宋" w:eastAsia="仿宋" w:cs="仿宋"/>
                <w:color w:val="auto"/>
                <w:sz w:val="28"/>
                <w:szCs w:val="28"/>
                <w:highlight w:val="none"/>
              </w:rPr>
            </w:pPr>
          </w:p>
        </w:tc>
        <w:tc>
          <w:tcPr>
            <w:tcW w:w="714" w:type="pct"/>
          </w:tcPr>
          <w:p w14:paraId="00EF3AA5">
            <w:pPr>
              <w:spacing w:line="360" w:lineRule="auto"/>
              <w:rPr>
                <w:rFonts w:hint="eastAsia" w:ascii="仿宋" w:hAnsi="仿宋" w:eastAsia="仿宋" w:cs="仿宋"/>
                <w:color w:val="auto"/>
                <w:sz w:val="28"/>
                <w:szCs w:val="28"/>
                <w:highlight w:val="none"/>
              </w:rPr>
            </w:pPr>
          </w:p>
        </w:tc>
        <w:tc>
          <w:tcPr>
            <w:tcW w:w="714" w:type="pct"/>
          </w:tcPr>
          <w:p w14:paraId="49DA4A74">
            <w:pPr>
              <w:spacing w:line="360" w:lineRule="auto"/>
              <w:rPr>
                <w:rFonts w:hint="eastAsia" w:ascii="仿宋" w:hAnsi="仿宋" w:eastAsia="仿宋" w:cs="仿宋"/>
                <w:color w:val="auto"/>
                <w:sz w:val="28"/>
                <w:szCs w:val="28"/>
                <w:highlight w:val="none"/>
              </w:rPr>
            </w:pPr>
          </w:p>
        </w:tc>
        <w:tc>
          <w:tcPr>
            <w:tcW w:w="714" w:type="pct"/>
          </w:tcPr>
          <w:p w14:paraId="62DE9691">
            <w:pPr>
              <w:spacing w:line="360" w:lineRule="auto"/>
              <w:rPr>
                <w:rFonts w:hint="eastAsia" w:ascii="仿宋" w:hAnsi="仿宋" w:eastAsia="仿宋" w:cs="仿宋"/>
                <w:color w:val="auto"/>
                <w:sz w:val="28"/>
                <w:szCs w:val="28"/>
                <w:highlight w:val="none"/>
              </w:rPr>
            </w:pPr>
          </w:p>
        </w:tc>
        <w:tc>
          <w:tcPr>
            <w:tcW w:w="714" w:type="pct"/>
          </w:tcPr>
          <w:p w14:paraId="028A0A95">
            <w:pPr>
              <w:spacing w:line="360" w:lineRule="auto"/>
              <w:rPr>
                <w:rFonts w:hint="eastAsia" w:ascii="仿宋" w:hAnsi="仿宋" w:eastAsia="仿宋" w:cs="仿宋"/>
                <w:color w:val="auto"/>
                <w:sz w:val="28"/>
                <w:szCs w:val="28"/>
                <w:highlight w:val="none"/>
              </w:rPr>
            </w:pPr>
          </w:p>
        </w:tc>
      </w:tr>
      <w:tr w14:paraId="5C6D09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14" w:type="pct"/>
          </w:tcPr>
          <w:p w14:paraId="5E447E21">
            <w:pPr>
              <w:pStyle w:val="16"/>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w:t>
            </w:r>
          </w:p>
        </w:tc>
        <w:tc>
          <w:tcPr>
            <w:tcW w:w="714" w:type="pct"/>
          </w:tcPr>
          <w:p w14:paraId="4476ABD8">
            <w:pPr>
              <w:spacing w:line="360" w:lineRule="auto"/>
              <w:rPr>
                <w:rFonts w:hint="eastAsia" w:ascii="仿宋" w:hAnsi="仿宋" w:eastAsia="仿宋" w:cs="仿宋"/>
                <w:color w:val="auto"/>
                <w:sz w:val="28"/>
                <w:szCs w:val="28"/>
                <w:highlight w:val="none"/>
              </w:rPr>
            </w:pPr>
          </w:p>
        </w:tc>
        <w:tc>
          <w:tcPr>
            <w:tcW w:w="714" w:type="pct"/>
          </w:tcPr>
          <w:p w14:paraId="138918B0">
            <w:pPr>
              <w:spacing w:line="360" w:lineRule="auto"/>
              <w:rPr>
                <w:rFonts w:hint="eastAsia" w:ascii="仿宋" w:hAnsi="仿宋" w:eastAsia="仿宋" w:cs="仿宋"/>
                <w:color w:val="auto"/>
                <w:sz w:val="28"/>
                <w:szCs w:val="28"/>
                <w:highlight w:val="none"/>
              </w:rPr>
            </w:pPr>
          </w:p>
        </w:tc>
        <w:tc>
          <w:tcPr>
            <w:tcW w:w="714" w:type="pct"/>
          </w:tcPr>
          <w:p w14:paraId="4B62D4B7">
            <w:pPr>
              <w:spacing w:line="360" w:lineRule="auto"/>
              <w:rPr>
                <w:rFonts w:hint="eastAsia" w:ascii="仿宋" w:hAnsi="仿宋" w:eastAsia="仿宋" w:cs="仿宋"/>
                <w:color w:val="auto"/>
                <w:sz w:val="28"/>
                <w:szCs w:val="28"/>
                <w:highlight w:val="none"/>
              </w:rPr>
            </w:pPr>
          </w:p>
        </w:tc>
        <w:tc>
          <w:tcPr>
            <w:tcW w:w="714" w:type="pct"/>
          </w:tcPr>
          <w:p w14:paraId="1F96A42D">
            <w:pPr>
              <w:spacing w:line="360" w:lineRule="auto"/>
              <w:rPr>
                <w:rFonts w:hint="eastAsia" w:ascii="仿宋" w:hAnsi="仿宋" w:eastAsia="仿宋" w:cs="仿宋"/>
                <w:color w:val="auto"/>
                <w:sz w:val="28"/>
                <w:szCs w:val="28"/>
                <w:highlight w:val="none"/>
              </w:rPr>
            </w:pPr>
          </w:p>
        </w:tc>
        <w:tc>
          <w:tcPr>
            <w:tcW w:w="714" w:type="pct"/>
          </w:tcPr>
          <w:p w14:paraId="3E6E56A9">
            <w:pPr>
              <w:spacing w:line="360" w:lineRule="auto"/>
              <w:rPr>
                <w:rFonts w:hint="eastAsia" w:ascii="仿宋" w:hAnsi="仿宋" w:eastAsia="仿宋" w:cs="仿宋"/>
                <w:color w:val="auto"/>
                <w:sz w:val="28"/>
                <w:szCs w:val="28"/>
                <w:highlight w:val="none"/>
              </w:rPr>
            </w:pPr>
          </w:p>
        </w:tc>
        <w:tc>
          <w:tcPr>
            <w:tcW w:w="714" w:type="pct"/>
          </w:tcPr>
          <w:p w14:paraId="5E6E7F33">
            <w:pPr>
              <w:spacing w:line="360" w:lineRule="auto"/>
              <w:rPr>
                <w:rFonts w:hint="eastAsia" w:ascii="仿宋" w:hAnsi="仿宋" w:eastAsia="仿宋" w:cs="仿宋"/>
                <w:color w:val="auto"/>
                <w:sz w:val="28"/>
                <w:szCs w:val="28"/>
                <w:highlight w:val="none"/>
              </w:rPr>
            </w:pPr>
          </w:p>
        </w:tc>
      </w:tr>
      <w:tr w14:paraId="5A9861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14" w:type="pct"/>
          </w:tcPr>
          <w:p w14:paraId="6D4BD234">
            <w:pPr>
              <w:pStyle w:val="16"/>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w:t>
            </w:r>
          </w:p>
        </w:tc>
        <w:tc>
          <w:tcPr>
            <w:tcW w:w="714" w:type="pct"/>
          </w:tcPr>
          <w:p w14:paraId="3AE50877">
            <w:pPr>
              <w:spacing w:line="360" w:lineRule="auto"/>
              <w:rPr>
                <w:rFonts w:hint="eastAsia" w:ascii="仿宋" w:hAnsi="仿宋" w:eastAsia="仿宋" w:cs="仿宋"/>
                <w:color w:val="auto"/>
                <w:sz w:val="28"/>
                <w:szCs w:val="28"/>
                <w:highlight w:val="none"/>
              </w:rPr>
            </w:pPr>
          </w:p>
        </w:tc>
        <w:tc>
          <w:tcPr>
            <w:tcW w:w="714" w:type="pct"/>
          </w:tcPr>
          <w:p w14:paraId="121A099C">
            <w:pPr>
              <w:spacing w:line="360" w:lineRule="auto"/>
              <w:rPr>
                <w:rFonts w:hint="eastAsia" w:ascii="仿宋" w:hAnsi="仿宋" w:eastAsia="仿宋" w:cs="仿宋"/>
                <w:color w:val="auto"/>
                <w:sz w:val="28"/>
                <w:szCs w:val="28"/>
                <w:highlight w:val="none"/>
              </w:rPr>
            </w:pPr>
          </w:p>
        </w:tc>
        <w:tc>
          <w:tcPr>
            <w:tcW w:w="714" w:type="pct"/>
          </w:tcPr>
          <w:p w14:paraId="7E7502FE">
            <w:pPr>
              <w:spacing w:line="360" w:lineRule="auto"/>
              <w:rPr>
                <w:rFonts w:hint="eastAsia" w:ascii="仿宋" w:hAnsi="仿宋" w:eastAsia="仿宋" w:cs="仿宋"/>
                <w:color w:val="auto"/>
                <w:sz w:val="28"/>
                <w:szCs w:val="28"/>
                <w:highlight w:val="none"/>
              </w:rPr>
            </w:pPr>
          </w:p>
        </w:tc>
        <w:tc>
          <w:tcPr>
            <w:tcW w:w="714" w:type="pct"/>
          </w:tcPr>
          <w:p w14:paraId="01384502">
            <w:pPr>
              <w:spacing w:line="360" w:lineRule="auto"/>
              <w:rPr>
                <w:rFonts w:hint="eastAsia" w:ascii="仿宋" w:hAnsi="仿宋" w:eastAsia="仿宋" w:cs="仿宋"/>
                <w:color w:val="auto"/>
                <w:sz w:val="28"/>
                <w:szCs w:val="28"/>
                <w:highlight w:val="none"/>
              </w:rPr>
            </w:pPr>
          </w:p>
        </w:tc>
        <w:tc>
          <w:tcPr>
            <w:tcW w:w="714" w:type="pct"/>
          </w:tcPr>
          <w:p w14:paraId="197B5F00">
            <w:pPr>
              <w:spacing w:line="360" w:lineRule="auto"/>
              <w:rPr>
                <w:rFonts w:hint="eastAsia" w:ascii="仿宋" w:hAnsi="仿宋" w:eastAsia="仿宋" w:cs="仿宋"/>
                <w:color w:val="auto"/>
                <w:sz w:val="28"/>
                <w:szCs w:val="28"/>
                <w:highlight w:val="none"/>
              </w:rPr>
            </w:pPr>
          </w:p>
        </w:tc>
        <w:tc>
          <w:tcPr>
            <w:tcW w:w="714" w:type="pct"/>
          </w:tcPr>
          <w:p w14:paraId="2E3BAD8D">
            <w:pPr>
              <w:spacing w:line="360" w:lineRule="auto"/>
              <w:rPr>
                <w:rFonts w:hint="eastAsia" w:ascii="仿宋" w:hAnsi="仿宋" w:eastAsia="仿宋" w:cs="仿宋"/>
                <w:color w:val="auto"/>
                <w:sz w:val="28"/>
                <w:szCs w:val="28"/>
                <w:highlight w:val="none"/>
              </w:rPr>
            </w:pPr>
          </w:p>
        </w:tc>
      </w:tr>
      <w:tr w14:paraId="7A88C3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14" w:type="pct"/>
          </w:tcPr>
          <w:p w14:paraId="0C983C02">
            <w:pPr>
              <w:pStyle w:val="16"/>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w:t>
            </w:r>
          </w:p>
        </w:tc>
        <w:tc>
          <w:tcPr>
            <w:tcW w:w="714" w:type="pct"/>
          </w:tcPr>
          <w:p w14:paraId="2411DB27">
            <w:pPr>
              <w:spacing w:line="360" w:lineRule="auto"/>
              <w:rPr>
                <w:rFonts w:hint="eastAsia" w:ascii="仿宋" w:hAnsi="仿宋" w:eastAsia="仿宋" w:cs="仿宋"/>
                <w:color w:val="auto"/>
                <w:sz w:val="28"/>
                <w:szCs w:val="28"/>
                <w:highlight w:val="none"/>
              </w:rPr>
            </w:pPr>
          </w:p>
        </w:tc>
        <w:tc>
          <w:tcPr>
            <w:tcW w:w="714" w:type="pct"/>
          </w:tcPr>
          <w:p w14:paraId="10C9F72A">
            <w:pPr>
              <w:spacing w:line="360" w:lineRule="auto"/>
              <w:rPr>
                <w:rFonts w:hint="eastAsia" w:ascii="仿宋" w:hAnsi="仿宋" w:eastAsia="仿宋" w:cs="仿宋"/>
                <w:color w:val="auto"/>
                <w:sz w:val="28"/>
                <w:szCs w:val="28"/>
                <w:highlight w:val="none"/>
              </w:rPr>
            </w:pPr>
          </w:p>
        </w:tc>
        <w:tc>
          <w:tcPr>
            <w:tcW w:w="714" w:type="pct"/>
          </w:tcPr>
          <w:p w14:paraId="1726EDF0">
            <w:pPr>
              <w:spacing w:line="360" w:lineRule="auto"/>
              <w:rPr>
                <w:rFonts w:hint="eastAsia" w:ascii="仿宋" w:hAnsi="仿宋" w:eastAsia="仿宋" w:cs="仿宋"/>
                <w:color w:val="auto"/>
                <w:sz w:val="28"/>
                <w:szCs w:val="28"/>
                <w:highlight w:val="none"/>
              </w:rPr>
            </w:pPr>
          </w:p>
        </w:tc>
        <w:tc>
          <w:tcPr>
            <w:tcW w:w="714" w:type="pct"/>
          </w:tcPr>
          <w:p w14:paraId="557DE2A3">
            <w:pPr>
              <w:spacing w:line="360" w:lineRule="auto"/>
              <w:rPr>
                <w:rFonts w:hint="eastAsia" w:ascii="仿宋" w:hAnsi="仿宋" w:eastAsia="仿宋" w:cs="仿宋"/>
                <w:color w:val="auto"/>
                <w:sz w:val="28"/>
                <w:szCs w:val="28"/>
                <w:highlight w:val="none"/>
              </w:rPr>
            </w:pPr>
          </w:p>
        </w:tc>
        <w:tc>
          <w:tcPr>
            <w:tcW w:w="714" w:type="pct"/>
          </w:tcPr>
          <w:p w14:paraId="044B763A">
            <w:pPr>
              <w:spacing w:line="360" w:lineRule="auto"/>
              <w:rPr>
                <w:rFonts w:hint="eastAsia" w:ascii="仿宋" w:hAnsi="仿宋" w:eastAsia="仿宋" w:cs="仿宋"/>
                <w:color w:val="auto"/>
                <w:sz w:val="28"/>
                <w:szCs w:val="28"/>
                <w:highlight w:val="none"/>
              </w:rPr>
            </w:pPr>
          </w:p>
        </w:tc>
        <w:tc>
          <w:tcPr>
            <w:tcW w:w="714" w:type="pct"/>
          </w:tcPr>
          <w:p w14:paraId="1D11B14C">
            <w:pPr>
              <w:spacing w:line="360" w:lineRule="auto"/>
              <w:rPr>
                <w:rFonts w:hint="eastAsia" w:ascii="仿宋" w:hAnsi="仿宋" w:eastAsia="仿宋" w:cs="仿宋"/>
                <w:color w:val="auto"/>
                <w:sz w:val="28"/>
                <w:szCs w:val="28"/>
                <w:highlight w:val="none"/>
              </w:rPr>
            </w:pPr>
          </w:p>
        </w:tc>
      </w:tr>
      <w:tr w14:paraId="76283A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14" w:type="pct"/>
          </w:tcPr>
          <w:p w14:paraId="54E2ABAC">
            <w:pPr>
              <w:pStyle w:val="16"/>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w:t>
            </w:r>
          </w:p>
        </w:tc>
        <w:tc>
          <w:tcPr>
            <w:tcW w:w="714" w:type="pct"/>
          </w:tcPr>
          <w:p w14:paraId="48C5940A">
            <w:pPr>
              <w:spacing w:line="360" w:lineRule="auto"/>
              <w:rPr>
                <w:rFonts w:hint="eastAsia" w:ascii="仿宋" w:hAnsi="仿宋" w:eastAsia="仿宋" w:cs="仿宋"/>
                <w:color w:val="auto"/>
                <w:sz w:val="28"/>
                <w:szCs w:val="28"/>
                <w:highlight w:val="none"/>
              </w:rPr>
            </w:pPr>
          </w:p>
        </w:tc>
        <w:tc>
          <w:tcPr>
            <w:tcW w:w="714" w:type="pct"/>
          </w:tcPr>
          <w:p w14:paraId="06FF1C40">
            <w:pPr>
              <w:spacing w:line="360" w:lineRule="auto"/>
              <w:rPr>
                <w:rFonts w:hint="eastAsia" w:ascii="仿宋" w:hAnsi="仿宋" w:eastAsia="仿宋" w:cs="仿宋"/>
                <w:color w:val="auto"/>
                <w:sz w:val="28"/>
                <w:szCs w:val="28"/>
                <w:highlight w:val="none"/>
              </w:rPr>
            </w:pPr>
          </w:p>
        </w:tc>
        <w:tc>
          <w:tcPr>
            <w:tcW w:w="714" w:type="pct"/>
          </w:tcPr>
          <w:p w14:paraId="3435B2C0">
            <w:pPr>
              <w:spacing w:line="360" w:lineRule="auto"/>
              <w:rPr>
                <w:rFonts w:hint="eastAsia" w:ascii="仿宋" w:hAnsi="仿宋" w:eastAsia="仿宋" w:cs="仿宋"/>
                <w:color w:val="auto"/>
                <w:sz w:val="28"/>
                <w:szCs w:val="28"/>
                <w:highlight w:val="none"/>
              </w:rPr>
            </w:pPr>
          </w:p>
        </w:tc>
        <w:tc>
          <w:tcPr>
            <w:tcW w:w="714" w:type="pct"/>
          </w:tcPr>
          <w:p w14:paraId="081AB530">
            <w:pPr>
              <w:spacing w:line="360" w:lineRule="auto"/>
              <w:rPr>
                <w:rFonts w:hint="eastAsia" w:ascii="仿宋" w:hAnsi="仿宋" w:eastAsia="仿宋" w:cs="仿宋"/>
                <w:color w:val="auto"/>
                <w:sz w:val="28"/>
                <w:szCs w:val="28"/>
                <w:highlight w:val="none"/>
              </w:rPr>
            </w:pPr>
          </w:p>
        </w:tc>
        <w:tc>
          <w:tcPr>
            <w:tcW w:w="714" w:type="pct"/>
          </w:tcPr>
          <w:p w14:paraId="03782C27">
            <w:pPr>
              <w:spacing w:line="360" w:lineRule="auto"/>
              <w:rPr>
                <w:rFonts w:hint="eastAsia" w:ascii="仿宋" w:hAnsi="仿宋" w:eastAsia="仿宋" w:cs="仿宋"/>
                <w:color w:val="auto"/>
                <w:sz w:val="28"/>
                <w:szCs w:val="28"/>
                <w:highlight w:val="none"/>
              </w:rPr>
            </w:pPr>
          </w:p>
        </w:tc>
        <w:tc>
          <w:tcPr>
            <w:tcW w:w="714" w:type="pct"/>
          </w:tcPr>
          <w:p w14:paraId="6D89B180">
            <w:pPr>
              <w:spacing w:line="360" w:lineRule="auto"/>
              <w:rPr>
                <w:rFonts w:hint="eastAsia" w:ascii="仿宋" w:hAnsi="仿宋" w:eastAsia="仿宋" w:cs="仿宋"/>
                <w:color w:val="auto"/>
                <w:sz w:val="28"/>
                <w:szCs w:val="28"/>
                <w:highlight w:val="none"/>
              </w:rPr>
            </w:pPr>
          </w:p>
        </w:tc>
      </w:tr>
      <w:tr w14:paraId="5C2C70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14" w:type="pct"/>
          </w:tcPr>
          <w:p w14:paraId="5A11511C">
            <w:pPr>
              <w:pStyle w:val="16"/>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7</w:t>
            </w:r>
          </w:p>
        </w:tc>
        <w:tc>
          <w:tcPr>
            <w:tcW w:w="714" w:type="pct"/>
          </w:tcPr>
          <w:p w14:paraId="71428699">
            <w:pPr>
              <w:spacing w:line="360" w:lineRule="auto"/>
              <w:rPr>
                <w:rFonts w:hint="eastAsia" w:ascii="仿宋" w:hAnsi="仿宋" w:eastAsia="仿宋" w:cs="仿宋"/>
                <w:color w:val="auto"/>
                <w:sz w:val="28"/>
                <w:szCs w:val="28"/>
                <w:highlight w:val="none"/>
              </w:rPr>
            </w:pPr>
          </w:p>
        </w:tc>
        <w:tc>
          <w:tcPr>
            <w:tcW w:w="714" w:type="pct"/>
          </w:tcPr>
          <w:p w14:paraId="3B29A856">
            <w:pPr>
              <w:spacing w:line="360" w:lineRule="auto"/>
              <w:rPr>
                <w:rFonts w:hint="eastAsia" w:ascii="仿宋" w:hAnsi="仿宋" w:eastAsia="仿宋" w:cs="仿宋"/>
                <w:color w:val="auto"/>
                <w:sz w:val="28"/>
                <w:szCs w:val="28"/>
                <w:highlight w:val="none"/>
              </w:rPr>
            </w:pPr>
          </w:p>
        </w:tc>
        <w:tc>
          <w:tcPr>
            <w:tcW w:w="714" w:type="pct"/>
          </w:tcPr>
          <w:p w14:paraId="7166128F">
            <w:pPr>
              <w:spacing w:line="360" w:lineRule="auto"/>
              <w:rPr>
                <w:rFonts w:hint="eastAsia" w:ascii="仿宋" w:hAnsi="仿宋" w:eastAsia="仿宋" w:cs="仿宋"/>
                <w:color w:val="auto"/>
                <w:sz w:val="28"/>
                <w:szCs w:val="28"/>
                <w:highlight w:val="none"/>
              </w:rPr>
            </w:pPr>
          </w:p>
        </w:tc>
        <w:tc>
          <w:tcPr>
            <w:tcW w:w="714" w:type="pct"/>
          </w:tcPr>
          <w:p w14:paraId="264875EA">
            <w:pPr>
              <w:spacing w:line="360" w:lineRule="auto"/>
              <w:rPr>
                <w:rFonts w:hint="eastAsia" w:ascii="仿宋" w:hAnsi="仿宋" w:eastAsia="仿宋" w:cs="仿宋"/>
                <w:color w:val="auto"/>
                <w:sz w:val="28"/>
                <w:szCs w:val="28"/>
                <w:highlight w:val="none"/>
              </w:rPr>
            </w:pPr>
          </w:p>
        </w:tc>
        <w:tc>
          <w:tcPr>
            <w:tcW w:w="714" w:type="pct"/>
          </w:tcPr>
          <w:p w14:paraId="07F69510">
            <w:pPr>
              <w:spacing w:line="360" w:lineRule="auto"/>
              <w:rPr>
                <w:rFonts w:hint="eastAsia" w:ascii="仿宋" w:hAnsi="仿宋" w:eastAsia="仿宋" w:cs="仿宋"/>
                <w:color w:val="auto"/>
                <w:sz w:val="28"/>
                <w:szCs w:val="28"/>
                <w:highlight w:val="none"/>
              </w:rPr>
            </w:pPr>
          </w:p>
        </w:tc>
        <w:tc>
          <w:tcPr>
            <w:tcW w:w="714" w:type="pct"/>
          </w:tcPr>
          <w:p w14:paraId="3DC262CB">
            <w:pPr>
              <w:spacing w:line="360" w:lineRule="auto"/>
              <w:rPr>
                <w:rFonts w:hint="eastAsia" w:ascii="仿宋" w:hAnsi="仿宋" w:eastAsia="仿宋" w:cs="仿宋"/>
                <w:color w:val="auto"/>
                <w:sz w:val="28"/>
                <w:szCs w:val="28"/>
                <w:highlight w:val="none"/>
              </w:rPr>
            </w:pPr>
          </w:p>
        </w:tc>
      </w:tr>
      <w:tr w14:paraId="2A21E9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14" w:type="pct"/>
          </w:tcPr>
          <w:p w14:paraId="3FC0D06D">
            <w:pPr>
              <w:pStyle w:val="16"/>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8</w:t>
            </w:r>
          </w:p>
        </w:tc>
        <w:tc>
          <w:tcPr>
            <w:tcW w:w="714" w:type="pct"/>
          </w:tcPr>
          <w:p w14:paraId="016FC327">
            <w:pPr>
              <w:spacing w:line="360" w:lineRule="auto"/>
              <w:rPr>
                <w:rFonts w:hint="eastAsia" w:ascii="仿宋" w:hAnsi="仿宋" w:eastAsia="仿宋" w:cs="仿宋"/>
                <w:color w:val="auto"/>
                <w:sz w:val="28"/>
                <w:szCs w:val="28"/>
                <w:highlight w:val="none"/>
              </w:rPr>
            </w:pPr>
          </w:p>
        </w:tc>
        <w:tc>
          <w:tcPr>
            <w:tcW w:w="714" w:type="pct"/>
          </w:tcPr>
          <w:p w14:paraId="7EDE65ED">
            <w:pPr>
              <w:spacing w:line="360" w:lineRule="auto"/>
              <w:rPr>
                <w:rFonts w:hint="eastAsia" w:ascii="仿宋" w:hAnsi="仿宋" w:eastAsia="仿宋" w:cs="仿宋"/>
                <w:color w:val="auto"/>
                <w:sz w:val="28"/>
                <w:szCs w:val="28"/>
                <w:highlight w:val="none"/>
              </w:rPr>
            </w:pPr>
          </w:p>
        </w:tc>
        <w:tc>
          <w:tcPr>
            <w:tcW w:w="714" w:type="pct"/>
          </w:tcPr>
          <w:p w14:paraId="0716153E">
            <w:pPr>
              <w:spacing w:line="360" w:lineRule="auto"/>
              <w:rPr>
                <w:rFonts w:hint="eastAsia" w:ascii="仿宋" w:hAnsi="仿宋" w:eastAsia="仿宋" w:cs="仿宋"/>
                <w:color w:val="auto"/>
                <w:sz w:val="28"/>
                <w:szCs w:val="28"/>
                <w:highlight w:val="none"/>
              </w:rPr>
            </w:pPr>
          </w:p>
        </w:tc>
        <w:tc>
          <w:tcPr>
            <w:tcW w:w="714" w:type="pct"/>
          </w:tcPr>
          <w:p w14:paraId="2F234D3A">
            <w:pPr>
              <w:spacing w:line="360" w:lineRule="auto"/>
              <w:rPr>
                <w:rFonts w:hint="eastAsia" w:ascii="仿宋" w:hAnsi="仿宋" w:eastAsia="仿宋" w:cs="仿宋"/>
                <w:color w:val="auto"/>
                <w:sz w:val="28"/>
                <w:szCs w:val="28"/>
                <w:highlight w:val="none"/>
              </w:rPr>
            </w:pPr>
          </w:p>
        </w:tc>
        <w:tc>
          <w:tcPr>
            <w:tcW w:w="714" w:type="pct"/>
          </w:tcPr>
          <w:p w14:paraId="16091C4F">
            <w:pPr>
              <w:spacing w:line="360" w:lineRule="auto"/>
              <w:rPr>
                <w:rFonts w:hint="eastAsia" w:ascii="仿宋" w:hAnsi="仿宋" w:eastAsia="仿宋" w:cs="仿宋"/>
                <w:color w:val="auto"/>
                <w:sz w:val="28"/>
                <w:szCs w:val="28"/>
                <w:highlight w:val="none"/>
              </w:rPr>
            </w:pPr>
          </w:p>
        </w:tc>
        <w:tc>
          <w:tcPr>
            <w:tcW w:w="714" w:type="pct"/>
          </w:tcPr>
          <w:p w14:paraId="1202641A">
            <w:pPr>
              <w:spacing w:line="360" w:lineRule="auto"/>
              <w:rPr>
                <w:rFonts w:hint="eastAsia" w:ascii="仿宋" w:hAnsi="仿宋" w:eastAsia="仿宋" w:cs="仿宋"/>
                <w:color w:val="auto"/>
                <w:sz w:val="28"/>
                <w:szCs w:val="28"/>
                <w:highlight w:val="none"/>
              </w:rPr>
            </w:pPr>
          </w:p>
        </w:tc>
      </w:tr>
      <w:tr w14:paraId="396F45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14" w:type="pct"/>
          </w:tcPr>
          <w:p w14:paraId="789F835B">
            <w:pPr>
              <w:pStyle w:val="16"/>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w:t>
            </w:r>
          </w:p>
        </w:tc>
        <w:tc>
          <w:tcPr>
            <w:tcW w:w="714" w:type="pct"/>
          </w:tcPr>
          <w:p w14:paraId="26DF11C4">
            <w:pPr>
              <w:spacing w:line="360" w:lineRule="auto"/>
              <w:rPr>
                <w:rFonts w:hint="eastAsia" w:ascii="仿宋" w:hAnsi="仿宋" w:eastAsia="仿宋" w:cs="仿宋"/>
                <w:color w:val="auto"/>
                <w:sz w:val="28"/>
                <w:szCs w:val="28"/>
                <w:highlight w:val="none"/>
              </w:rPr>
            </w:pPr>
          </w:p>
        </w:tc>
        <w:tc>
          <w:tcPr>
            <w:tcW w:w="714" w:type="pct"/>
          </w:tcPr>
          <w:p w14:paraId="75318911">
            <w:pPr>
              <w:spacing w:line="360" w:lineRule="auto"/>
              <w:rPr>
                <w:rFonts w:hint="eastAsia" w:ascii="仿宋" w:hAnsi="仿宋" w:eastAsia="仿宋" w:cs="仿宋"/>
                <w:color w:val="auto"/>
                <w:sz w:val="28"/>
                <w:szCs w:val="28"/>
                <w:highlight w:val="none"/>
              </w:rPr>
            </w:pPr>
          </w:p>
        </w:tc>
        <w:tc>
          <w:tcPr>
            <w:tcW w:w="714" w:type="pct"/>
          </w:tcPr>
          <w:p w14:paraId="4B1CACCC">
            <w:pPr>
              <w:spacing w:line="360" w:lineRule="auto"/>
              <w:rPr>
                <w:rFonts w:hint="eastAsia" w:ascii="仿宋" w:hAnsi="仿宋" w:eastAsia="仿宋" w:cs="仿宋"/>
                <w:color w:val="auto"/>
                <w:sz w:val="28"/>
                <w:szCs w:val="28"/>
                <w:highlight w:val="none"/>
              </w:rPr>
            </w:pPr>
          </w:p>
        </w:tc>
        <w:tc>
          <w:tcPr>
            <w:tcW w:w="714" w:type="pct"/>
          </w:tcPr>
          <w:p w14:paraId="147D96EE">
            <w:pPr>
              <w:spacing w:line="360" w:lineRule="auto"/>
              <w:rPr>
                <w:rFonts w:hint="eastAsia" w:ascii="仿宋" w:hAnsi="仿宋" w:eastAsia="仿宋" w:cs="仿宋"/>
                <w:color w:val="auto"/>
                <w:sz w:val="28"/>
                <w:szCs w:val="28"/>
                <w:highlight w:val="none"/>
              </w:rPr>
            </w:pPr>
          </w:p>
        </w:tc>
        <w:tc>
          <w:tcPr>
            <w:tcW w:w="714" w:type="pct"/>
          </w:tcPr>
          <w:p w14:paraId="13925848">
            <w:pPr>
              <w:spacing w:line="360" w:lineRule="auto"/>
              <w:rPr>
                <w:rFonts w:hint="eastAsia" w:ascii="仿宋" w:hAnsi="仿宋" w:eastAsia="仿宋" w:cs="仿宋"/>
                <w:color w:val="auto"/>
                <w:sz w:val="28"/>
                <w:szCs w:val="28"/>
                <w:highlight w:val="none"/>
              </w:rPr>
            </w:pPr>
          </w:p>
        </w:tc>
        <w:tc>
          <w:tcPr>
            <w:tcW w:w="714" w:type="pct"/>
          </w:tcPr>
          <w:p w14:paraId="544FBEFC">
            <w:pPr>
              <w:spacing w:line="360" w:lineRule="auto"/>
              <w:rPr>
                <w:rFonts w:hint="eastAsia" w:ascii="仿宋" w:hAnsi="仿宋" w:eastAsia="仿宋" w:cs="仿宋"/>
                <w:color w:val="auto"/>
                <w:sz w:val="28"/>
                <w:szCs w:val="28"/>
                <w:highlight w:val="none"/>
              </w:rPr>
            </w:pPr>
          </w:p>
        </w:tc>
      </w:tr>
    </w:tbl>
    <w:p w14:paraId="72A664A6">
      <w:pPr>
        <w:pStyle w:val="16"/>
        <w:spacing w:line="360" w:lineRule="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说明：</w:t>
      </w:r>
    </w:p>
    <w:p w14:paraId="45532582">
      <w:pPr>
        <w:pStyle w:val="16"/>
        <w:spacing w:line="360" w:lineRule="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1.“采购文件规定的商务条件”项下填写的内容应与招标文件中采购需求的 “商务要求”的内容保持一致。</w:t>
      </w:r>
    </w:p>
    <w:p w14:paraId="0176D80F">
      <w:pPr>
        <w:pStyle w:val="16"/>
        <w:spacing w:line="360" w:lineRule="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14:paraId="2092F3B1">
      <w:pPr>
        <w:pStyle w:val="16"/>
        <w:spacing w:line="360" w:lineRule="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3.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14:paraId="37C14C25">
      <w:pPr>
        <w:pStyle w:val="16"/>
        <w:spacing w:line="360" w:lineRule="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4.“是否偏离”项下应按下列规定填写：优于的，填写“正偏离”；符合的，填写“无偏离”；低于的，填写“负偏离”。</w:t>
      </w:r>
    </w:p>
    <w:p w14:paraId="20AFCD37">
      <w:pPr>
        <w:pStyle w:val="16"/>
        <w:spacing w:line="360" w:lineRule="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5.“备注”处可填写偏离情况的说明。</w:t>
      </w:r>
    </w:p>
    <w:p w14:paraId="4FE8CF76">
      <w:pP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br w:type="page"/>
      </w:r>
    </w:p>
    <w:p w14:paraId="799C7948">
      <w:pPr>
        <w:pStyle w:val="4"/>
        <w:bidi w:val="0"/>
        <w:outlineLvl w:val="2"/>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附件15</w:t>
      </w:r>
      <w:r>
        <w:rPr>
          <w:rFonts w:hint="eastAsia" w:ascii="仿宋" w:hAnsi="仿宋" w:eastAsia="仿宋" w:cs="仿宋"/>
          <w:color w:val="auto"/>
          <w:sz w:val="28"/>
          <w:szCs w:val="28"/>
          <w:highlight w:val="none"/>
        </w:rPr>
        <w:t>：履约进度计划表</w:t>
      </w:r>
    </w:p>
    <w:p w14:paraId="5EF7CB51">
      <w:pPr>
        <w:pStyle w:val="16"/>
        <w:spacing w:line="360" w:lineRule="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（以下格式文件由供应商根据需要选用）</w:t>
      </w:r>
    </w:p>
    <w:p w14:paraId="20C5A73B">
      <w:pPr>
        <w:pStyle w:val="16"/>
        <w:spacing w:line="360" w:lineRule="auto"/>
        <w:jc w:val="center"/>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履约进度计划表</w:t>
      </w:r>
    </w:p>
    <w:tbl>
      <w:tblPr>
        <w:tblStyle w:val="1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46"/>
        <w:gridCol w:w="3701"/>
        <w:gridCol w:w="1940"/>
        <w:gridCol w:w="1817"/>
      </w:tblGrid>
      <w:tr w14:paraId="22ED2F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46" w:type="dxa"/>
          </w:tcPr>
          <w:p w14:paraId="69FB8AFC">
            <w:pPr>
              <w:pStyle w:val="16"/>
              <w:spacing w:line="360" w:lineRule="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序号</w:t>
            </w:r>
          </w:p>
        </w:tc>
        <w:tc>
          <w:tcPr>
            <w:tcW w:w="3701" w:type="dxa"/>
          </w:tcPr>
          <w:p w14:paraId="17B5CF1A">
            <w:pPr>
              <w:pStyle w:val="16"/>
              <w:spacing w:line="360" w:lineRule="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 xml:space="preserve"> 拟定时间安排</w:t>
            </w:r>
          </w:p>
        </w:tc>
        <w:tc>
          <w:tcPr>
            <w:tcW w:w="1940" w:type="dxa"/>
          </w:tcPr>
          <w:p w14:paraId="33B34C02">
            <w:pPr>
              <w:pStyle w:val="16"/>
              <w:spacing w:line="360" w:lineRule="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 xml:space="preserve"> 计划完成的工作内容</w:t>
            </w:r>
          </w:p>
        </w:tc>
        <w:tc>
          <w:tcPr>
            <w:tcW w:w="1817" w:type="dxa"/>
          </w:tcPr>
          <w:p w14:paraId="0C2D7FFE">
            <w:pPr>
              <w:pStyle w:val="16"/>
              <w:spacing w:line="360" w:lineRule="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 xml:space="preserve"> 实施方建议或要求</w:t>
            </w:r>
          </w:p>
        </w:tc>
      </w:tr>
      <w:tr w14:paraId="655225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46" w:type="dxa"/>
          </w:tcPr>
          <w:p w14:paraId="386CC2DF">
            <w:pPr>
              <w:pStyle w:val="16"/>
              <w:spacing w:line="360" w:lineRule="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 xml:space="preserve"> 1</w:t>
            </w:r>
          </w:p>
        </w:tc>
        <w:tc>
          <w:tcPr>
            <w:tcW w:w="3701" w:type="dxa"/>
          </w:tcPr>
          <w:p w14:paraId="7BE4627A">
            <w:pPr>
              <w:pStyle w:val="16"/>
              <w:spacing w:line="360" w:lineRule="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 xml:space="preserve"> 拟定</w:t>
            </w:r>
            <w:r>
              <w:rPr>
                <w:rFonts w:hint="eastAsia" w:ascii="仿宋" w:hAnsi="仿宋" w:eastAsia="仿宋" w:cs="仿宋"/>
                <w:color w:val="auto"/>
                <w:kern w:val="2"/>
                <w:sz w:val="28"/>
                <w:szCs w:val="28"/>
                <w:highlight w:val="none"/>
                <w:u w:val="none"/>
                <w:lang w:val="en-US" w:eastAsia="zh-CN" w:bidi="ar-SA"/>
              </w:rPr>
              <w:t>___</w:t>
            </w:r>
            <w:r>
              <w:rPr>
                <w:rFonts w:hint="eastAsia" w:ascii="仿宋" w:hAnsi="仿宋" w:eastAsia="仿宋" w:cs="仿宋"/>
                <w:color w:val="auto"/>
                <w:kern w:val="2"/>
                <w:sz w:val="28"/>
                <w:szCs w:val="28"/>
                <w:highlight w:val="none"/>
                <w:lang w:val="en-US" w:eastAsia="zh-CN" w:bidi="ar-SA"/>
              </w:rPr>
              <w:t>年___月___日</w:t>
            </w:r>
          </w:p>
        </w:tc>
        <w:tc>
          <w:tcPr>
            <w:tcW w:w="1940" w:type="dxa"/>
          </w:tcPr>
          <w:p w14:paraId="5081F68F">
            <w:pPr>
              <w:pStyle w:val="16"/>
              <w:spacing w:line="360" w:lineRule="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 xml:space="preserve"> 签订合同并生效</w:t>
            </w:r>
          </w:p>
        </w:tc>
        <w:tc>
          <w:tcPr>
            <w:tcW w:w="1817" w:type="dxa"/>
          </w:tcPr>
          <w:p w14:paraId="497123C7">
            <w:pPr>
              <w:pStyle w:val="16"/>
              <w:spacing w:line="360" w:lineRule="auto"/>
              <w:rPr>
                <w:rFonts w:hint="eastAsia" w:ascii="仿宋" w:hAnsi="仿宋" w:eastAsia="仿宋" w:cs="仿宋"/>
                <w:color w:val="auto"/>
                <w:kern w:val="2"/>
                <w:sz w:val="28"/>
                <w:szCs w:val="28"/>
                <w:highlight w:val="none"/>
                <w:lang w:val="en-US" w:eastAsia="zh-CN" w:bidi="ar-SA"/>
              </w:rPr>
            </w:pPr>
          </w:p>
        </w:tc>
      </w:tr>
      <w:tr w14:paraId="19BC75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46" w:type="dxa"/>
          </w:tcPr>
          <w:p w14:paraId="261FBA8B">
            <w:pPr>
              <w:pStyle w:val="16"/>
              <w:spacing w:line="360" w:lineRule="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 xml:space="preserve"> 2</w:t>
            </w:r>
          </w:p>
        </w:tc>
        <w:tc>
          <w:tcPr>
            <w:tcW w:w="3701" w:type="dxa"/>
          </w:tcPr>
          <w:p w14:paraId="40E1F337">
            <w:pPr>
              <w:pStyle w:val="16"/>
              <w:spacing w:line="360" w:lineRule="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 xml:space="preserve"> ___月___日—___月___日</w:t>
            </w:r>
          </w:p>
        </w:tc>
        <w:tc>
          <w:tcPr>
            <w:tcW w:w="1940" w:type="dxa"/>
          </w:tcPr>
          <w:p w14:paraId="7D6B823B">
            <w:pPr>
              <w:pStyle w:val="16"/>
              <w:spacing w:line="360" w:lineRule="auto"/>
              <w:rPr>
                <w:rFonts w:hint="eastAsia" w:ascii="仿宋" w:hAnsi="仿宋" w:eastAsia="仿宋" w:cs="仿宋"/>
                <w:color w:val="auto"/>
                <w:kern w:val="2"/>
                <w:sz w:val="28"/>
                <w:szCs w:val="28"/>
                <w:highlight w:val="none"/>
                <w:lang w:val="en-US" w:eastAsia="zh-CN" w:bidi="ar-SA"/>
              </w:rPr>
            </w:pPr>
          </w:p>
        </w:tc>
        <w:tc>
          <w:tcPr>
            <w:tcW w:w="1817" w:type="dxa"/>
          </w:tcPr>
          <w:p w14:paraId="24E4DFCC">
            <w:pPr>
              <w:pStyle w:val="16"/>
              <w:spacing w:line="360" w:lineRule="auto"/>
              <w:rPr>
                <w:rFonts w:hint="eastAsia" w:ascii="仿宋" w:hAnsi="仿宋" w:eastAsia="仿宋" w:cs="仿宋"/>
                <w:color w:val="auto"/>
                <w:kern w:val="2"/>
                <w:sz w:val="28"/>
                <w:szCs w:val="28"/>
                <w:highlight w:val="none"/>
                <w:lang w:val="en-US" w:eastAsia="zh-CN" w:bidi="ar-SA"/>
              </w:rPr>
            </w:pPr>
          </w:p>
        </w:tc>
      </w:tr>
      <w:tr w14:paraId="0A1327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46" w:type="dxa"/>
          </w:tcPr>
          <w:p w14:paraId="5302CEDE">
            <w:pPr>
              <w:pStyle w:val="16"/>
              <w:spacing w:line="360" w:lineRule="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 xml:space="preserve"> 3</w:t>
            </w:r>
          </w:p>
        </w:tc>
        <w:tc>
          <w:tcPr>
            <w:tcW w:w="3701" w:type="dxa"/>
          </w:tcPr>
          <w:p w14:paraId="0CE70A1A">
            <w:pPr>
              <w:pStyle w:val="16"/>
              <w:spacing w:line="360" w:lineRule="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 xml:space="preserve"> ___月___日—___月___日</w:t>
            </w:r>
          </w:p>
        </w:tc>
        <w:tc>
          <w:tcPr>
            <w:tcW w:w="1940" w:type="dxa"/>
          </w:tcPr>
          <w:p w14:paraId="53973640">
            <w:pPr>
              <w:pStyle w:val="16"/>
              <w:spacing w:line="360" w:lineRule="auto"/>
              <w:rPr>
                <w:rFonts w:hint="eastAsia" w:ascii="仿宋" w:hAnsi="仿宋" w:eastAsia="仿宋" w:cs="仿宋"/>
                <w:color w:val="auto"/>
                <w:kern w:val="2"/>
                <w:sz w:val="28"/>
                <w:szCs w:val="28"/>
                <w:highlight w:val="none"/>
                <w:lang w:val="en-US" w:eastAsia="zh-CN" w:bidi="ar-SA"/>
              </w:rPr>
            </w:pPr>
          </w:p>
        </w:tc>
        <w:tc>
          <w:tcPr>
            <w:tcW w:w="1817" w:type="dxa"/>
          </w:tcPr>
          <w:p w14:paraId="6EEEA66F">
            <w:pPr>
              <w:pStyle w:val="16"/>
              <w:spacing w:line="360" w:lineRule="auto"/>
              <w:rPr>
                <w:rFonts w:hint="eastAsia" w:ascii="仿宋" w:hAnsi="仿宋" w:eastAsia="仿宋" w:cs="仿宋"/>
                <w:color w:val="auto"/>
                <w:kern w:val="2"/>
                <w:sz w:val="28"/>
                <w:szCs w:val="28"/>
                <w:highlight w:val="none"/>
                <w:lang w:val="en-US" w:eastAsia="zh-CN" w:bidi="ar-SA"/>
              </w:rPr>
            </w:pPr>
          </w:p>
        </w:tc>
      </w:tr>
      <w:tr w14:paraId="4D8414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46" w:type="dxa"/>
          </w:tcPr>
          <w:p w14:paraId="4B556FB2">
            <w:pPr>
              <w:pStyle w:val="16"/>
              <w:spacing w:line="360" w:lineRule="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 xml:space="preserve"> 4</w:t>
            </w:r>
          </w:p>
        </w:tc>
        <w:tc>
          <w:tcPr>
            <w:tcW w:w="3701" w:type="dxa"/>
          </w:tcPr>
          <w:p w14:paraId="0C46A3B7">
            <w:pPr>
              <w:pStyle w:val="16"/>
              <w:spacing w:line="360" w:lineRule="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 xml:space="preserve"> ___月___日—___月___日</w:t>
            </w:r>
          </w:p>
        </w:tc>
        <w:tc>
          <w:tcPr>
            <w:tcW w:w="1940" w:type="dxa"/>
          </w:tcPr>
          <w:p w14:paraId="012A796C">
            <w:pPr>
              <w:pStyle w:val="16"/>
              <w:spacing w:line="360" w:lineRule="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 xml:space="preserve"> 质保期</w:t>
            </w:r>
          </w:p>
        </w:tc>
        <w:tc>
          <w:tcPr>
            <w:tcW w:w="1817" w:type="dxa"/>
          </w:tcPr>
          <w:p w14:paraId="09BAD5C7">
            <w:pPr>
              <w:pStyle w:val="16"/>
              <w:spacing w:line="360" w:lineRule="auto"/>
              <w:rPr>
                <w:rFonts w:hint="eastAsia" w:ascii="仿宋" w:hAnsi="仿宋" w:eastAsia="仿宋" w:cs="仿宋"/>
                <w:color w:val="auto"/>
                <w:kern w:val="2"/>
                <w:sz w:val="28"/>
                <w:szCs w:val="28"/>
                <w:highlight w:val="none"/>
                <w:lang w:val="en-US" w:eastAsia="zh-CN" w:bidi="ar-SA"/>
              </w:rPr>
            </w:pPr>
          </w:p>
        </w:tc>
      </w:tr>
    </w:tbl>
    <w:p w14:paraId="098FC108">
      <w:pP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br w:type="page"/>
      </w:r>
    </w:p>
    <w:p w14:paraId="30AE85A0">
      <w:pPr>
        <w:pStyle w:val="4"/>
        <w:bidi w:val="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附件16</w:t>
      </w:r>
      <w:r>
        <w:rPr>
          <w:rFonts w:hint="eastAsia" w:ascii="仿宋" w:hAnsi="仿宋" w:eastAsia="仿宋" w:cs="仿宋"/>
          <w:color w:val="auto"/>
          <w:sz w:val="28"/>
          <w:szCs w:val="28"/>
          <w:highlight w:val="none"/>
        </w:rPr>
        <w:t>：各类证明材料</w:t>
      </w:r>
    </w:p>
    <w:p w14:paraId="51A06D64">
      <w:pPr>
        <w:pStyle w:val="16"/>
        <w:spacing w:line="360" w:lineRule="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（以下格式文件由供应商根据需要选用）</w:t>
      </w:r>
    </w:p>
    <w:p w14:paraId="157B4EC4">
      <w:pPr>
        <w:pStyle w:val="16"/>
        <w:spacing w:line="360" w:lineRule="auto"/>
        <w:jc w:val="center"/>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各类证明材料</w:t>
      </w:r>
    </w:p>
    <w:p w14:paraId="34C8B85C">
      <w:pPr>
        <w:pStyle w:val="16"/>
        <w:spacing w:line="360" w:lineRule="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1.招标文件要求提供的其他资料。</w:t>
      </w:r>
    </w:p>
    <w:p w14:paraId="3DAE08FD">
      <w:pPr>
        <w:pStyle w:val="16"/>
        <w:spacing w:line="360" w:lineRule="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2.投标人认为需提供的其他资料。</w:t>
      </w:r>
    </w:p>
    <w:p w14:paraId="7155E574">
      <w:pP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br w:type="page"/>
      </w:r>
    </w:p>
    <w:p w14:paraId="01086022">
      <w:pPr>
        <w:pStyle w:val="4"/>
        <w:bidi w:val="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附件17</w:t>
      </w:r>
      <w:r>
        <w:rPr>
          <w:rFonts w:hint="eastAsia" w:ascii="仿宋" w:hAnsi="仿宋" w:eastAsia="仿宋" w:cs="仿宋"/>
          <w:color w:val="auto"/>
          <w:sz w:val="28"/>
          <w:szCs w:val="28"/>
          <w:highlight w:val="none"/>
        </w:rPr>
        <w:t>：采购代理服务费支付承诺书</w:t>
      </w:r>
    </w:p>
    <w:p w14:paraId="070F2419">
      <w:pPr>
        <w:pStyle w:val="16"/>
        <w:spacing w:line="360" w:lineRule="auto"/>
        <w:ind w:firstLine="480"/>
        <w:jc w:val="center"/>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采购代理服务费支付承诺书</w:t>
      </w:r>
    </w:p>
    <w:p w14:paraId="68857619">
      <w:pPr>
        <w:pStyle w:val="16"/>
        <w:spacing w:line="360" w:lineRule="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致：东莞市德晟招标有限公司</w:t>
      </w:r>
    </w:p>
    <w:p w14:paraId="61D547D9">
      <w:pPr>
        <w:pStyle w:val="16"/>
        <w:spacing w:line="360" w:lineRule="auto"/>
        <w:ind w:firstLine="560" w:firstLineChars="200"/>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如果我方在贵采购代理机构组织的东莞市常平镇中心小学食堂食材采购项目招标中获中标（采购项目编号：    ），我方保证在收取《中标通知书》时，按招标文件对代理服务费支付方式的约定，承担本项目代理服务费。</w:t>
      </w:r>
    </w:p>
    <w:p w14:paraId="64599EC1">
      <w:pPr>
        <w:pStyle w:val="16"/>
        <w:spacing w:line="360" w:lineRule="auto"/>
        <w:ind w:firstLine="480"/>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东莞市德晟招标有限公司的要求办理支付手续。</w:t>
      </w:r>
    </w:p>
    <w:p w14:paraId="0586942D">
      <w:pPr>
        <w:pStyle w:val="16"/>
        <w:spacing w:line="360" w:lineRule="auto"/>
        <w:ind w:firstLine="560" w:firstLineChars="200"/>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特此承诺！</w:t>
      </w:r>
    </w:p>
    <w:p w14:paraId="11C8E61C">
      <w:pPr>
        <w:pStyle w:val="16"/>
        <w:spacing w:line="360" w:lineRule="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投标人法定名称（公章）；_____________________</w:t>
      </w:r>
    </w:p>
    <w:p w14:paraId="3D68C88C">
      <w:pPr>
        <w:pStyle w:val="16"/>
        <w:spacing w:line="360" w:lineRule="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投标人法定地址：_____________________</w:t>
      </w:r>
    </w:p>
    <w:p w14:paraId="6865A20C">
      <w:pPr>
        <w:pStyle w:val="16"/>
        <w:spacing w:line="360" w:lineRule="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投标人授权代表（签字或盖章）：_____________________</w:t>
      </w:r>
    </w:p>
    <w:p w14:paraId="1F6AA350">
      <w:pPr>
        <w:pStyle w:val="16"/>
        <w:spacing w:line="360" w:lineRule="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电 话：_____________________</w:t>
      </w:r>
    </w:p>
    <w:p w14:paraId="2EB672B5">
      <w:pPr>
        <w:pStyle w:val="16"/>
        <w:spacing w:line="360" w:lineRule="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传 真：_____________________</w:t>
      </w:r>
    </w:p>
    <w:p w14:paraId="6833C7CD">
      <w:pPr>
        <w:pStyle w:val="16"/>
        <w:spacing w:line="360" w:lineRule="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承诺日期：_____________________</w:t>
      </w:r>
    </w:p>
    <w:p w14:paraId="4C693EBF">
      <w:pP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br w:type="page"/>
      </w:r>
    </w:p>
    <w:p w14:paraId="4AAEA17F">
      <w:pPr>
        <w:pStyle w:val="4"/>
        <w:bidi w:val="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附件18</w:t>
      </w:r>
      <w:r>
        <w:rPr>
          <w:rFonts w:hint="eastAsia" w:ascii="仿宋" w:hAnsi="仿宋" w:eastAsia="仿宋" w:cs="仿宋"/>
          <w:color w:val="auto"/>
          <w:sz w:val="28"/>
          <w:szCs w:val="28"/>
          <w:highlight w:val="none"/>
        </w:rPr>
        <w:t>：需要采购人提供的附加条件</w:t>
      </w:r>
    </w:p>
    <w:p w14:paraId="15FAACBE">
      <w:pPr>
        <w:pStyle w:val="16"/>
        <w:spacing w:line="360" w:lineRule="auto"/>
        <w:ind w:firstLine="480"/>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（以下格式文件由供应商根据需要选用）</w:t>
      </w:r>
    </w:p>
    <w:p w14:paraId="79D49225">
      <w:pPr>
        <w:pStyle w:val="16"/>
        <w:spacing w:line="360" w:lineRule="auto"/>
        <w:jc w:val="center"/>
        <w:outlineLvl w:val="3"/>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需要采购人提供的附加条件</w:t>
      </w:r>
    </w:p>
    <w:tbl>
      <w:tblPr>
        <w:tblStyle w:val="1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3563"/>
        <w:gridCol w:w="4743"/>
      </w:tblGrid>
      <w:tr w14:paraId="6A25CF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563" w:type="dxa"/>
          </w:tcPr>
          <w:p w14:paraId="1D31657E">
            <w:pPr>
              <w:pStyle w:val="16"/>
              <w:spacing w:line="360" w:lineRule="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序号</w:t>
            </w:r>
          </w:p>
        </w:tc>
        <w:tc>
          <w:tcPr>
            <w:tcW w:w="4743" w:type="dxa"/>
          </w:tcPr>
          <w:p w14:paraId="76C07EB5">
            <w:pPr>
              <w:pStyle w:val="16"/>
              <w:spacing w:line="360" w:lineRule="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投标人需要采购人提供的附加条件</w:t>
            </w:r>
          </w:p>
        </w:tc>
      </w:tr>
      <w:tr w14:paraId="7B0D55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563" w:type="dxa"/>
          </w:tcPr>
          <w:p w14:paraId="4A4C9BF3">
            <w:pPr>
              <w:pStyle w:val="16"/>
              <w:spacing w:line="360" w:lineRule="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1</w:t>
            </w:r>
          </w:p>
        </w:tc>
        <w:tc>
          <w:tcPr>
            <w:tcW w:w="4743" w:type="dxa"/>
          </w:tcPr>
          <w:p w14:paraId="3464A87F">
            <w:pPr>
              <w:spacing w:line="360" w:lineRule="auto"/>
              <w:rPr>
                <w:rFonts w:hint="eastAsia" w:ascii="仿宋" w:hAnsi="仿宋" w:eastAsia="仿宋" w:cs="仿宋"/>
                <w:color w:val="auto"/>
                <w:kern w:val="2"/>
                <w:sz w:val="28"/>
                <w:szCs w:val="28"/>
                <w:highlight w:val="none"/>
                <w:lang w:val="en-US" w:eastAsia="zh-CN" w:bidi="ar-SA"/>
              </w:rPr>
            </w:pPr>
          </w:p>
        </w:tc>
      </w:tr>
      <w:tr w14:paraId="198219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563" w:type="dxa"/>
          </w:tcPr>
          <w:p w14:paraId="14AC4F37">
            <w:pPr>
              <w:pStyle w:val="16"/>
              <w:spacing w:line="360" w:lineRule="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2</w:t>
            </w:r>
          </w:p>
        </w:tc>
        <w:tc>
          <w:tcPr>
            <w:tcW w:w="4743" w:type="dxa"/>
          </w:tcPr>
          <w:p w14:paraId="3F7CA79D">
            <w:pPr>
              <w:spacing w:line="360" w:lineRule="auto"/>
              <w:rPr>
                <w:rFonts w:hint="eastAsia" w:ascii="仿宋" w:hAnsi="仿宋" w:eastAsia="仿宋" w:cs="仿宋"/>
                <w:color w:val="auto"/>
                <w:kern w:val="2"/>
                <w:sz w:val="28"/>
                <w:szCs w:val="28"/>
                <w:highlight w:val="none"/>
                <w:lang w:val="en-US" w:eastAsia="zh-CN" w:bidi="ar-SA"/>
              </w:rPr>
            </w:pPr>
          </w:p>
        </w:tc>
      </w:tr>
      <w:tr w14:paraId="36378A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563" w:type="dxa"/>
          </w:tcPr>
          <w:p w14:paraId="39182164">
            <w:pPr>
              <w:pStyle w:val="16"/>
              <w:spacing w:line="360" w:lineRule="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3</w:t>
            </w:r>
          </w:p>
        </w:tc>
        <w:tc>
          <w:tcPr>
            <w:tcW w:w="4743" w:type="dxa"/>
          </w:tcPr>
          <w:p w14:paraId="7A162F0F">
            <w:pPr>
              <w:spacing w:line="360" w:lineRule="auto"/>
              <w:rPr>
                <w:rFonts w:hint="eastAsia" w:ascii="仿宋" w:hAnsi="仿宋" w:eastAsia="仿宋" w:cs="仿宋"/>
                <w:color w:val="auto"/>
                <w:kern w:val="2"/>
                <w:sz w:val="28"/>
                <w:szCs w:val="28"/>
                <w:highlight w:val="none"/>
                <w:lang w:val="en-US" w:eastAsia="zh-CN" w:bidi="ar-SA"/>
              </w:rPr>
            </w:pPr>
          </w:p>
        </w:tc>
      </w:tr>
    </w:tbl>
    <w:p w14:paraId="79E3FE31">
      <w:pPr>
        <w:pStyle w:val="16"/>
        <w:spacing w:line="360" w:lineRule="auto"/>
        <w:ind w:firstLine="480"/>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注：投标人完成本项目需要采购人配合或提供的条件必须在上表列出，否则将视为投标人同意按现有条件完成本项目。如上表所列附加条件含有采购人不能接受的，将被视为投标无效。</w:t>
      </w:r>
    </w:p>
    <w:p w14:paraId="14E878DD">
      <w:pP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br w:type="page"/>
      </w:r>
    </w:p>
    <w:p w14:paraId="45299A24">
      <w:pPr>
        <w:pStyle w:val="4"/>
        <w:bidi w:val="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附件19</w:t>
      </w:r>
      <w:r>
        <w:rPr>
          <w:rFonts w:hint="eastAsia" w:ascii="仿宋" w:hAnsi="仿宋" w:eastAsia="仿宋" w:cs="仿宋"/>
          <w:color w:val="auto"/>
          <w:sz w:val="28"/>
          <w:szCs w:val="28"/>
          <w:highlight w:val="none"/>
        </w:rPr>
        <w:t>：询问函、质疑函格式</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如需</w:t>
      </w:r>
      <w:r>
        <w:rPr>
          <w:rFonts w:hint="eastAsia" w:ascii="仿宋" w:hAnsi="仿宋" w:eastAsia="仿宋" w:cs="仿宋"/>
          <w:color w:val="auto"/>
          <w:sz w:val="28"/>
          <w:szCs w:val="28"/>
          <w:highlight w:val="none"/>
          <w:lang w:eastAsia="zh-CN"/>
        </w:rPr>
        <w:t>）</w:t>
      </w:r>
    </w:p>
    <w:p w14:paraId="25CDCAEA">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（以下格式文件由供应商根据需要选用）</w:t>
      </w:r>
    </w:p>
    <w:p w14:paraId="493862FB">
      <w:pPr>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询问函、质疑函格式</w:t>
      </w:r>
    </w:p>
    <w:p w14:paraId="166A3D0E">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说明：本部分格式为投标人提交询问函、质疑函、投诉函时使用，不属于投标文件格式的组成部分。</w:t>
      </w:r>
    </w:p>
    <w:p w14:paraId="30508B48">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询问函</w:t>
      </w:r>
    </w:p>
    <w:p w14:paraId="7D7527C3">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东莞市德晟招标有限公司</w:t>
      </w:r>
    </w:p>
    <w:p w14:paraId="0BD97486">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我单位已登记并准备参与“</w:t>
      </w:r>
      <w:r>
        <w:rPr>
          <w:rFonts w:hint="eastAsia" w:ascii="仿宋" w:hAnsi="仿宋" w:eastAsia="仿宋" w:cs="仿宋"/>
          <w:color w:val="auto"/>
          <w:sz w:val="28"/>
          <w:szCs w:val="28"/>
          <w:highlight w:val="none"/>
          <w:lang w:eastAsia="zh-CN"/>
        </w:rPr>
        <w:t>东莞市常平镇中心小学食堂食材采购项目</w:t>
      </w:r>
      <w:r>
        <w:rPr>
          <w:rFonts w:hint="eastAsia" w:ascii="仿宋" w:hAnsi="仿宋" w:eastAsia="仿宋" w:cs="仿宋"/>
          <w:color w:val="auto"/>
          <w:sz w:val="28"/>
          <w:szCs w:val="28"/>
          <w:highlight w:val="none"/>
        </w:rPr>
        <w:t>”项目（采购项目编号：</w:t>
      </w:r>
      <w:r>
        <w:rPr>
          <w:rFonts w:hint="eastAsia" w:ascii="仿宋" w:hAnsi="仿宋" w:eastAsia="仿宋" w:cs="仿宋"/>
          <w:color w:val="auto"/>
          <w:sz w:val="28"/>
          <w:szCs w:val="28"/>
          <w:highlight w:val="none"/>
          <w:lang w:eastAsia="zh-CN"/>
        </w:rPr>
        <w:t>DSZB25DG004C</w:t>
      </w:r>
      <w:r>
        <w:rPr>
          <w:rFonts w:hint="eastAsia" w:ascii="仿宋" w:hAnsi="仿宋" w:eastAsia="仿宋" w:cs="仿宋"/>
          <w:color w:val="auto"/>
          <w:sz w:val="28"/>
          <w:szCs w:val="28"/>
          <w:highlight w:val="none"/>
        </w:rPr>
        <w:t xml:space="preserve"> ）的投标活动，现有以下几个内容（或条款）存在疑问（或无法理解），特提出询问。</w:t>
      </w:r>
    </w:p>
    <w:p w14:paraId="5F406F98">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一、_____________________（事项一）</w:t>
      </w:r>
    </w:p>
    <w:p w14:paraId="16C61878">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（1）____________________（问题或条款内容）</w:t>
      </w:r>
    </w:p>
    <w:p w14:paraId="0321B93E">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（2）____________________（说明疑问或无法理解原因）</w:t>
      </w:r>
    </w:p>
    <w:p w14:paraId="477E9331">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（3）____________________（建议）</w:t>
      </w:r>
    </w:p>
    <w:p w14:paraId="7829C793">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二、_____________________（事项二）</w:t>
      </w:r>
    </w:p>
    <w:p w14:paraId="7AA15E32">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w:t>
      </w:r>
    </w:p>
    <w:p w14:paraId="4710B27A">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随附相关证明材料如下：（目录）</w:t>
      </w:r>
    </w:p>
    <w:p w14:paraId="7D31D1B9">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询问人（公章）：_____________________</w:t>
      </w:r>
    </w:p>
    <w:p w14:paraId="4B206016">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法定代表人或授权代表（签字或盖章）：_____________________</w:t>
      </w:r>
    </w:p>
    <w:p w14:paraId="78FA80D1">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地址/邮编：_____________________</w:t>
      </w:r>
    </w:p>
    <w:p w14:paraId="6F98C6C4">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电话/传真：_____________________</w:t>
      </w:r>
    </w:p>
    <w:p w14:paraId="18F15B6D">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日期： 年 月 日</w:t>
      </w:r>
    </w:p>
    <w:p w14:paraId="17E085C2">
      <w:pPr>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质疑函</w:t>
      </w:r>
    </w:p>
    <w:p w14:paraId="7D974608">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一、质疑供应商基本信息</w:t>
      </w:r>
    </w:p>
    <w:p w14:paraId="1A2E3802">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质疑供应商：</w:t>
      </w:r>
    </w:p>
    <w:p w14:paraId="5EA0A7AD">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地址：_____________________邮编：_____________________</w:t>
      </w:r>
    </w:p>
    <w:p w14:paraId="2B907F2B">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联系：_____________________联系电话：_____________________</w:t>
      </w:r>
    </w:p>
    <w:p w14:paraId="61899078">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授权代表：_____________________</w:t>
      </w:r>
    </w:p>
    <w:p w14:paraId="235DD067">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联系电话：_____________________</w:t>
      </w:r>
    </w:p>
    <w:p w14:paraId="0B378F8F">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地址：_____________________邮编：_____________________</w:t>
      </w:r>
    </w:p>
    <w:p w14:paraId="4D2738CA">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二、质疑项目基本情况</w:t>
      </w:r>
    </w:p>
    <w:p w14:paraId="51B962A1">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质疑项目的名称：_____________________</w:t>
      </w:r>
    </w:p>
    <w:p w14:paraId="65B78F15">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质疑项目的编号：_____________________ 包号：_____________________</w:t>
      </w:r>
    </w:p>
    <w:p w14:paraId="7CBD2E74">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采购人名称：_____________________</w:t>
      </w:r>
    </w:p>
    <w:p w14:paraId="1FBEA2DB">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采购文件获取日期：_____________________</w:t>
      </w:r>
    </w:p>
    <w:p w14:paraId="552BAAB5">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三、质疑事项具体内容</w:t>
      </w:r>
    </w:p>
    <w:p w14:paraId="72970496">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质疑事项1：_____________________</w:t>
      </w:r>
    </w:p>
    <w:p w14:paraId="644D6378">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事实依据：_____________________</w:t>
      </w:r>
    </w:p>
    <w:p w14:paraId="6D2387CC">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法律依据：_____________________</w:t>
      </w:r>
    </w:p>
    <w:p w14:paraId="3BC6B285">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质疑事项2：_____________________</w:t>
      </w:r>
    </w:p>
    <w:p w14:paraId="521AF677">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w:t>
      </w:r>
    </w:p>
    <w:p w14:paraId="2AB91010">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四、与质疑事项相关的质疑请求</w:t>
      </w:r>
    </w:p>
    <w:p w14:paraId="75BE0513">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请求：__________________________________________</w:t>
      </w:r>
    </w:p>
    <w:p w14:paraId="0D66D017">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签字</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签章</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 xml:space="preserve">：_____________________ </w:t>
      </w:r>
    </w:p>
    <w:p w14:paraId="62DA7532">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公章：_____________________</w:t>
      </w:r>
    </w:p>
    <w:p w14:paraId="11C2D4ED">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日期： 年 月 日</w:t>
      </w:r>
    </w:p>
    <w:p w14:paraId="16D6A4E2">
      <w:pP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质疑函制作说明：</w:t>
      </w:r>
    </w:p>
    <w:p w14:paraId="0D1F3A83">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1.供应商提出质疑时，应提交质疑函和必要的证明材料。</w:t>
      </w:r>
    </w:p>
    <w:p w14:paraId="3EF6E980">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14:paraId="5F4900CB">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3.质疑供应商若对项目的某一分包进行质疑，质疑函中应列明具体采购包号。</w:t>
      </w:r>
    </w:p>
    <w:p w14:paraId="095DC353">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4.质疑函的质疑事项应具体、明确，并有必要的事实依据和法律依据。</w:t>
      </w:r>
    </w:p>
    <w:p w14:paraId="7C209DEF">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5.质疑函的质疑请求应与质疑事项相关。</w:t>
      </w:r>
    </w:p>
    <w:p w14:paraId="09B2950F">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6.质疑供应商为自然人的，质疑函应由本人签字；质疑供应商为法人或者其他组织的，质疑函应由法定代表人、主要负责人，或者其授权代表签字或者盖章，并加盖公章。</w:t>
      </w:r>
    </w:p>
    <w:p w14:paraId="057DB7A4">
      <w:pP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br w:type="page"/>
      </w:r>
    </w:p>
    <w:p w14:paraId="1B487088">
      <w:pPr>
        <w:pStyle w:val="4"/>
        <w:bidi w:val="0"/>
        <w:outlineLvl w:val="2"/>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附件20</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总体方案</w:t>
      </w:r>
    </w:p>
    <w:p w14:paraId="78B9B72A">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（以下格式文件由供应商根据需要选用）</w:t>
      </w:r>
    </w:p>
    <w:p w14:paraId="1FF38575">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包括</w:t>
      </w:r>
      <w:r>
        <w:rPr>
          <w:rFonts w:hint="eastAsia" w:ascii="仿宋" w:hAnsi="仿宋" w:eastAsia="仿宋" w:cs="仿宋"/>
          <w:color w:val="auto"/>
          <w:sz w:val="28"/>
          <w:szCs w:val="28"/>
          <w:highlight w:val="none"/>
        </w:rPr>
        <w:t>项目实施方案、质量保证及售后服务承诺等内容和格式自拟。</w:t>
      </w:r>
    </w:p>
    <w:p w14:paraId="672534BA">
      <w:pP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br w:type="page"/>
      </w:r>
    </w:p>
    <w:p w14:paraId="3D4ECFFD">
      <w:pPr>
        <w:pStyle w:val="4"/>
        <w:bidi w:val="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附件21</w:t>
      </w:r>
      <w:r>
        <w:rPr>
          <w:rFonts w:hint="eastAsia" w:ascii="仿宋" w:hAnsi="仿宋" w:eastAsia="仿宋" w:cs="仿宋"/>
          <w:color w:val="auto"/>
          <w:sz w:val="28"/>
          <w:szCs w:val="28"/>
          <w:highlight w:val="none"/>
        </w:rPr>
        <w:t>：采购投标（响应）担保函</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如需</w:t>
      </w:r>
      <w:r>
        <w:rPr>
          <w:rFonts w:hint="eastAsia" w:ascii="仿宋" w:hAnsi="仿宋" w:eastAsia="仿宋" w:cs="仿宋"/>
          <w:color w:val="auto"/>
          <w:sz w:val="28"/>
          <w:szCs w:val="28"/>
          <w:highlight w:val="none"/>
          <w:lang w:eastAsia="zh-CN"/>
        </w:rPr>
        <w:t>）</w:t>
      </w:r>
    </w:p>
    <w:p w14:paraId="490B1046">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附件（以下格式文件由供应商根据需要选用）</w:t>
      </w:r>
    </w:p>
    <w:p w14:paraId="50A16345">
      <w:pPr>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采购投标（响应）担保函</w:t>
      </w:r>
    </w:p>
    <w:p w14:paraId="47F3D276">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编号：【 】号</w:t>
      </w:r>
    </w:p>
    <w:p w14:paraId="360F7ACF">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（采购人）：</w:t>
      </w:r>
    </w:p>
    <w:p w14:paraId="037DE5BE">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14:paraId="579249D2">
      <w:pPr>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一、保险责任的情形及保证金额</w:t>
      </w:r>
    </w:p>
    <w:p w14:paraId="18164D21">
      <w:pPr>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（一）在投标（响应）人出现下列情形之一时，我方承担保险责任：</w:t>
      </w:r>
    </w:p>
    <w:p w14:paraId="2CC50D78">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1.中标（成交）后投标（响应）人无正当理由不与采购人签订《采购合同》；</w:t>
      </w:r>
    </w:p>
    <w:p w14:paraId="34E09D36">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2.采购文件规定的投标（响应）人应当缴纳保证金的其他情形。</w:t>
      </w:r>
    </w:p>
    <w:p w14:paraId="179EE8D3">
      <w:pPr>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（二）我方承担保险责任的最高金额为人民币__________元（大写）即本项目的投标（响应）保证金金额。</w:t>
      </w:r>
    </w:p>
    <w:p w14:paraId="25C1B5A5">
      <w:pPr>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二、保证的方式及保证期间</w:t>
      </w:r>
    </w:p>
    <w:p w14:paraId="1359B70A">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我方保证的方式为：连带责任保证。</w:t>
      </w:r>
    </w:p>
    <w:p w14:paraId="7C6BF634">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我方的保证期间为：本保险凭证自__年__月__日起生效，有效期至开标日后的90天内。</w:t>
      </w:r>
    </w:p>
    <w:p w14:paraId="254F6035">
      <w:pPr>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三、承担保证责任的程序</w:t>
      </w:r>
    </w:p>
    <w:p w14:paraId="2F7338EA">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14:paraId="6E8DFEA2">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2.我方在收到索赔通知及相关证明材料后，在15个工作日内进行审查，符合应承担保证责任情形的，我方按照你方的要求代投标（响应）人向你方支付相应的索赔款项。</w:t>
      </w:r>
    </w:p>
    <w:p w14:paraId="482CEC35">
      <w:pPr>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四、保证责任的终止</w:t>
      </w:r>
    </w:p>
    <w:p w14:paraId="26E6D300">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1.保证期间届满，你方未向我方书面主张保证责任的，自保证期间届满次日起，我方保证责任自动终止。</w:t>
      </w:r>
    </w:p>
    <w:p w14:paraId="18071BE7">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2.我方按照本保函向你方履行了保证责任后，自我方向你方支付款项（支付款项从我方账户划出）之日起，保证责任终止。</w:t>
      </w:r>
    </w:p>
    <w:p w14:paraId="4EA1C503">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3.按照法律法规的规定或出现我方保证责任终止的其它情形的，我方在本保函项下的保证责任终止。</w:t>
      </w:r>
    </w:p>
    <w:p w14:paraId="1A11434B">
      <w:pPr>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五、免责条款</w:t>
      </w:r>
    </w:p>
    <w:p w14:paraId="253639FA">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1.依照法律规定或你方与投标（响应）人的另行约定，全部或者部分免除投标（响应）人投标（响应）保证金义务时，我方亦免除相应的保证责任。</w:t>
      </w:r>
    </w:p>
    <w:p w14:paraId="561FC876">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2.因你方原因致使投标（响应）人发生本保函第一条第（一）款约定情形的，我方不承担保证责任。</w:t>
      </w:r>
    </w:p>
    <w:p w14:paraId="2965BABC">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3.因不可抗力造成投标（响应）人发生本保函第一条约定情形的，我方不承担保证责任。</w:t>
      </w:r>
    </w:p>
    <w:p w14:paraId="63F2373A">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4.你方或其他有权机关对采购文件进行任何澄清或修改，加重我方保证责任的，我方对加重部分不承担保证责任，但该澄清或修改经我方事先书面同意的除外。</w:t>
      </w:r>
    </w:p>
    <w:p w14:paraId="3FF231EE">
      <w:pPr>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六、争议的解决</w:t>
      </w:r>
    </w:p>
    <w:p w14:paraId="552B30B4">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因本保函发生的纠纷，由你我双方协商解决，协商不成的，通过诉讼程序解决，诉讼管辖地法院为 法院。</w:t>
      </w:r>
    </w:p>
    <w:p w14:paraId="50BB0C3E">
      <w:pPr>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七、保函的生效</w:t>
      </w:r>
    </w:p>
    <w:p w14:paraId="0CDF6897">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本保函自我方加盖公章之日起生效。</w:t>
      </w:r>
    </w:p>
    <w:p w14:paraId="5141E520">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保证人：_______（公章）_______</w:t>
      </w:r>
    </w:p>
    <w:p w14:paraId="7A0F0C26">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联系人：____________________</w:t>
      </w:r>
    </w:p>
    <w:p w14:paraId="7D80774E">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联系电话：____________________</w:t>
      </w:r>
    </w:p>
    <w:p w14:paraId="34CEAE17">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___年___月___日</w:t>
      </w:r>
    </w:p>
    <w:p w14:paraId="010A18D5">
      <w:pP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br w:type="page"/>
      </w:r>
    </w:p>
    <w:p w14:paraId="5535D9B1">
      <w:pPr>
        <w:pStyle w:val="4"/>
        <w:bidi w:val="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附件22</w:t>
      </w:r>
      <w:r>
        <w:rPr>
          <w:rFonts w:hint="eastAsia" w:ascii="仿宋" w:hAnsi="仿宋" w:eastAsia="仿宋" w:cs="仿宋"/>
          <w:color w:val="auto"/>
          <w:sz w:val="28"/>
          <w:szCs w:val="28"/>
          <w:highlight w:val="none"/>
        </w:rPr>
        <w:t>：采购履约担保函</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如需</w:t>
      </w:r>
      <w:r>
        <w:rPr>
          <w:rFonts w:hint="eastAsia" w:ascii="仿宋" w:hAnsi="仿宋" w:eastAsia="仿宋" w:cs="仿宋"/>
          <w:color w:val="auto"/>
          <w:sz w:val="28"/>
          <w:szCs w:val="28"/>
          <w:highlight w:val="none"/>
          <w:lang w:eastAsia="zh-CN"/>
        </w:rPr>
        <w:t>）</w:t>
      </w:r>
    </w:p>
    <w:p w14:paraId="615A721D">
      <w:pPr>
        <w:pStyle w:val="16"/>
        <w:spacing w:line="360" w:lineRule="auto"/>
        <w:jc w:val="center"/>
        <w:outlineLvl w:val="3"/>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采购履约担保函</w:t>
      </w:r>
    </w:p>
    <w:p w14:paraId="27EB5BA4">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编号：</w:t>
      </w:r>
    </w:p>
    <w:p w14:paraId="63E20376">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（采购人）：</w:t>
      </w:r>
    </w:p>
    <w:p w14:paraId="6C83409B">
      <w:pPr>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14:paraId="45154047">
      <w:pPr>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一、保证金额</w:t>
      </w:r>
    </w:p>
    <w:p w14:paraId="55064F0A">
      <w:pPr>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我方的保证范围是主合同约定的合同价款总额的___%，数额为__________（大写），币种为人民币（即主合同履约保证金金额）。</w:t>
      </w:r>
    </w:p>
    <w:p w14:paraId="29CB66A5">
      <w:pPr>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二、我方保证的方式为：连带责任保证。</w:t>
      </w:r>
    </w:p>
    <w:p w14:paraId="24F90526">
      <w:pPr>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三、我方保证的期间为：本保函自开立之日起生效，至 年 月 日止。</w:t>
      </w:r>
    </w:p>
    <w:p w14:paraId="0C326125">
      <w:pPr>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四、在本保函的有效期内，如被保证人违反上述合同或协议约定的义务，我方将在收到你方提交的本保函文件及符合下列全部条件的索赔通知后 30 个工作日内以上述保证金额为限支付你方索赔金额</w:t>
      </w:r>
      <w:r>
        <w:rPr>
          <w:rFonts w:hint="eastAsia" w:ascii="仿宋" w:hAnsi="仿宋" w:eastAsia="仿宋" w:cs="仿宋"/>
          <w:color w:val="auto"/>
          <w:sz w:val="28"/>
          <w:szCs w:val="28"/>
          <w:highlight w:val="none"/>
          <w:lang w:eastAsia="zh-CN"/>
        </w:rPr>
        <w:t>：</w:t>
      </w:r>
    </w:p>
    <w:p w14:paraId="468AA618">
      <w:pPr>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一</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索赔通知文件必须以书面形式提出，列明索赔金额，并由你方法定代表人</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负责人</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或授权代理人签字并加盖公章</w:t>
      </w:r>
      <w:r>
        <w:rPr>
          <w:rFonts w:hint="eastAsia" w:ascii="仿宋" w:hAnsi="仿宋" w:eastAsia="仿宋" w:cs="仿宋"/>
          <w:color w:val="auto"/>
          <w:sz w:val="28"/>
          <w:szCs w:val="28"/>
          <w:highlight w:val="none"/>
          <w:lang w:eastAsia="zh-CN"/>
        </w:rPr>
        <w:t>；</w:t>
      </w:r>
    </w:p>
    <w:p w14:paraId="5E2AD436">
      <w:pPr>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二</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索赔通知文件必须同时附有</w:t>
      </w:r>
      <w:r>
        <w:rPr>
          <w:rFonts w:hint="eastAsia" w:ascii="仿宋" w:hAnsi="仿宋" w:eastAsia="仿宋" w:cs="仿宋"/>
          <w:color w:val="auto"/>
          <w:sz w:val="28"/>
          <w:szCs w:val="28"/>
          <w:highlight w:val="none"/>
          <w:lang w:eastAsia="zh-CN"/>
        </w:rPr>
        <w:t>：</w:t>
      </w:r>
    </w:p>
    <w:p w14:paraId="66B6B8BD">
      <w:pPr>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1.一项书面声明，声明索赔款项并未由被保证人或其代理人直接或间接地支付给你方</w:t>
      </w:r>
      <w:r>
        <w:rPr>
          <w:rFonts w:hint="eastAsia" w:ascii="仿宋" w:hAnsi="仿宋" w:eastAsia="仿宋" w:cs="仿宋"/>
          <w:color w:val="auto"/>
          <w:sz w:val="28"/>
          <w:szCs w:val="28"/>
          <w:highlight w:val="none"/>
          <w:lang w:eastAsia="zh-CN"/>
        </w:rPr>
        <w:t>；</w:t>
      </w:r>
    </w:p>
    <w:p w14:paraId="4804B540">
      <w:pPr>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2.证明被保证人违反上述合同或协议约定的义务以及有责任支付你方索赔金额的证据。</w:t>
      </w:r>
    </w:p>
    <w:p w14:paraId="63E43740">
      <w:pPr>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三</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索赔通知文件必须在本保函有效期内到达以下地址：</w:t>
      </w:r>
    </w:p>
    <w:p w14:paraId="55768EB0">
      <w:pPr>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__________________________________________________。</w:t>
      </w:r>
    </w:p>
    <w:p w14:paraId="65458C19">
      <w:pPr>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五、本保函保证金额将随被保证人逐步履行保函项下合同约定或法定的义务以及我方按你方索赔通知文件要求分次支付而相应递减。</w:t>
      </w:r>
    </w:p>
    <w:p w14:paraId="2D821908">
      <w:pPr>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六、本保函项下的权利不得转让，不得设定担保。受益人未经我方书面同意转让本保函或其项下任何权利，我方在本保函项下的义务与责任全部消灭。</w:t>
      </w:r>
    </w:p>
    <w:p w14:paraId="48234B6B">
      <w:pPr>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七、本保函项下的合同或基础交易不成立、不生效、无效、被撤销、被解除，本保函无效</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被保证人基于保函项下的合同或基础交易或其他原因的抗辩，我方均有权主张。</w:t>
      </w:r>
    </w:p>
    <w:p w14:paraId="4CC2ACB0">
      <w:pPr>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八、因本保函发生争议协商解决不成，按以下第 </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一</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种方式解决</w:t>
      </w:r>
      <w:r>
        <w:rPr>
          <w:rFonts w:hint="eastAsia" w:ascii="仿宋" w:hAnsi="仿宋" w:eastAsia="仿宋" w:cs="仿宋"/>
          <w:color w:val="auto"/>
          <w:sz w:val="28"/>
          <w:szCs w:val="28"/>
          <w:highlight w:val="none"/>
          <w:lang w:eastAsia="zh-CN"/>
        </w:rPr>
        <w:t>：</w:t>
      </w:r>
    </w:p>
    <w:p w14:paraId="747317CA">
      <w:pPr>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一</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向我方所在地的人民法院起诉。</w:t>
      </w:r>
    </w:p>
    <w:p w14:paraId="245956E0">
      <w:pPr>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二</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提交 此栏空白 仲裁委员会</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仲裁地点为此栏空白</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按照申请仲裁时该会现行有效的仲裁规则进行仲裁。仲裁裁决是终局的，对双方均有约束力。</w:t>
      </w:r>
    </w:p>
    <w:p w14:paraId="26C74C3E">
      <w:pPr>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九、本保函适用中华人民共和国法律。</w:t>
      </w:r>
    </w:p>
    <w:p w14:paraId="7A940CA9">
      <w:pPr>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十、其他条款</w:t>
      </w:r>
      <w:r>
        <w:rPr>
          <w:rFonts w:hint="eastAsia" w:ascii="仿宋" w:hAnsi="仿宋" w:eastAsia="仿宋" w:cs="仿宋"/>
          <w:color w:val="auto"/>
          <w:sz w:val="28"/>
          <w:szCs w:val="28"/>
          <w:highlight w:val="none"/>
          <w:lang w:eastAsia="zh-CN"/>
        </w:rPr>
        <w:t>：</w:t>
      </w:r>
    </w:p>
    <w:p w14:paraId="6DC06471">
      <w:pPr>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1.本保函有效期届满或提前终止，本保函自动失效，我方在本保函项下的义务与责任自动全部消灭，此后提出的任何索赔均为无效索赔，我方无义务作出任何赔付。</w:t>
      </w:r>
    </w:p>
    <w:p w14:paraId="27A7473F">
      <w:pPr>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2.所有索赔通知必须在我方工作时间内到达本保函规定的地址。</w:t>
      </w:r>
    </w:p>
    <w:p w14:paraId="46C84053">
      <w:pPr>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十一、本保函自我方盖章之日起生效。</w:t>
      </w:r>
    </w:p>
    <w:p w14:paraId="08CAC956">
      <w:pPr>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保证人：___________</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盖章</w:t>
      </w:r>
      <w:r>
        <w:rPr>
          <w:rFonts w:hint="eastAsia" w:ascii="仿宋" w:hAnsi="仿宋" w:eastAsia="仿宋" w:cs="仿宋"/>
          <w:color w:val="auto"/>
          <w:sz w:val="28"/>
          <w:szCs w:val="28"/>
          <w:highlight w:val="none"/>
          <w:lang w:eastAsia="zh-CN"/>
        </w:rPr>
        <w:t>）</w:t>
      </w:r>
    </w:p>
    <w:p w14:paraId="727D8A63">
      <w:pPr>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联系地址：_______________</w:t>
      </w:r>
    </w:p>
    <w:p w14:paraId="69D85447">
      <w:pPr>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联系电话：_______________</w:t>
      </w:r>
    </w:p>
    <w:p w14:paraId="1F502E3D">
      <w:pPr>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开立日期：___年___月___日</w:t>
      </w:r>
    </w:p>
    <w:p w14:paraId="78EE5CA0">
      <w:pPr>
        <w:pStyle w:val="16"/>
        <w:spacing w:line="360" w:lineRule="auto"/>
        <w:jc w:val="center"/>
        <w:outlineLvl w:val="3"/>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采购合同履约保险凭证</w:t>
      </w:r>
    </w:p>
    <w:p w14:paraId="45D596C0">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致被保险人__________：</w:t>
      </w:r>
    </w:p>
    <w:p w14:paraId="4CCC5F3F">
      <w:pPr>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14:paraId="798E1D19">
      <w:pPr>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一、我公司对上述采购项目出具的《采购合同履约保证保险》保单号：</w:t>
      </w:r>
    </w:p>
    <w:p w14:paraId="06991545">
      <w:pPr>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二、上述保单项下我公司的保险金额（最高限额）：人民币 （￥： 元）</w:t>
      </w:r>
    </w:p>
    <w:p w14:paraId="3AEDDA28">
      <w:pPr>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上述全部保险单的保险金额随投保人逐步履行采购合同约定的义务或我公司的赔付而递减。</w:t>
      </w:r>
    </w:p>
    <w:p w14:paraId="6C429D3A">
      <w:pPr>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三、本保险的保险期间自____年___月___日___时起至___年___月___日___时止，共计___天。</w:t>
      </w:r>
    </w:p>
    <w:p w14:paraId="4CD4C6C4">
      <w:pPr>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 30 个工作日内以上述保险金额为限，支付你方索赔金额。</w:t>
      </w:r>
    </w:p>
    <w:p w14:paraId="55744650">
      <w:pPr>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（一）投保人未按照采购合同约定的时间、地点交付采购标的；</w:t>
      </w:r>
    </w:p>
    <w:p w14:paraId="24CE02DF">
      <w:pPr>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（二）投保人供应采购标的的规格、型号、数量、质量等不符合《采购合同》的约定。</w:t>
      </w:r>
    </w:p>
    <w:p w14:paraId="250F0A34">
      <w:pPr>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五、索赔文件</w:t>
      </w:r>
    </w:p>
    <w:p w14:paraId="772A1923">
      <w:pPr>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（一）经被保险人有权人签字、加盖被保险人公章的书面索赔声明正本，索赔声明须注明本保险凭证对应的保单号并申明如下事实：</w:t>
      </w:r>
    </w:p>
    <w:p w14:paraId="3DCA29C3">
      <w:pPr>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（1）投保人未履行采购合同相关义务；</w:t>
      </w:r>
    </w:p>
    <w:p w14:paraId="4E8738D9">
      <w:pPr>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（2）投保人的违约事实。</w:t>
      </w:r>
    </w:p>
    <w:p w14:paraId="2572C9D4">
      <w:pPr>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（二）保险单正本；</w:t>
      </w:r>
    </w:p>
    <w:p w14:paraId="2306DAED">
      <w:pPr>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（三）《采购合同》副本及与采购项目进展、质量、缺陷有关的证明文件（包括《中标通知书》、投标书及其附录、会议纪要、其他合同文件等）；</w:t>
      </w:r>
    </w:p>
    <w:p w14:paraId="017D8143">
      <w:pPr>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（四）保险人要求投保人、被保险人所能提供的与确认保险事故的性质、原因、损失程度等有关的其他证明和资料；</w:t>
      </w:r>
    </w:p>
    <w:p w14:paraId="438327AF">
      <w:pPr>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（五）仲裁机构出具的裁决书或法院出具的裁定书、判决书等生效法律文书（适用于仲裁或诉讼确认损失的方式）；</w:t>
      </w:r>
    </w:p>
    <w:p w14:paraId="2DC52A48">
      <w:pPr>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六、未经保险人书面同意，本保险凭证与保险合同不得转让、质押，否则保险人在本保险凭证与保险合同项下的保险责任自动解除。</w:t>
      </w:r>
    </w:p>
    <w:p w14:paraId="28920FE9">
      <w:pPr>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七、本保证保险发生争议协商解决不成，向保险人所在地有管辖权的人民法院提起诉讼。</w:t>
      </w:r>
    </w:p>
    <w:p w14:paraId="3EA4E4E1">
      <w:pPr>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八、本保证保险适用的保险条款为《_______________________》。</w:t>
      </w:r>
    </w:p>
    <w:p w14:paraId="00BD8966">
      <w:pPr>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九、保险责任免除及其他本保险凭证未载明事宜以保险合同约定为准。</w:t>
      </w:r>
    </w:p>
    <w:p w14:paraId="6D7F764D">
      <w:pPr>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十、本保险凭证自保险人加盖保单专用章起生效。</w:t>
      </w:r>
    </w:p>
    <w:p w14:paraId="733E6812">
      <w:pPr>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保证人：__________</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盖章</w:t>
      </w:r>
      <w:r>
        <w:rPr>
          <w:rFonts w:hint="eastAsia" w:ascii="仿宋" w:hAnsi="仿宋" w:eastAsia="仿宋" w:cs="仿宋"/>
          <w:color w:val="auto"/>
          <w:sz w:val="28"/>
          <w:szCs w:val="28"/>
          <w:highlight w:val="none"/>
          <w:lang w:eastAsia="zh-CN"/>
        </w:rPr>
        <w:t>）</w:t>
      </w:r>
    </w:p>
    <w:p w14:paraId="5948F0E7">
      <w:pPr>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地址：__________________</w:t>
      </w:r>
    </w:p>
    <w:p w14:paraId="1DBB9939">
      <w:pPr>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电话：__________________</w:t>
      </w:r>
    </w:p>
    <w:p w14:paraId="114B15C6">
      <w:pPr>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开立日期：____年__月__日</w:t>
      </w:r>
    </w:p>
    <w:p w14:paraId="53ABB1D2">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br w:type="page"/>
      </w:r>
    </w:p>
    <w:p w14:paraId="15D6DB66">
      <w:pPr>
        <w:pStyle w:val="3"/>
        <w:numPr>
          <w:ilvl w:val="0"/>
          <w:numId w:val="0"/>
        </w:numPr>
        <w:bidi w:val="0"/>
        <w:ind w:leftChars="0"/>
        <w:jc w:val="both"/>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附件23：资格声明函格式</w:t>
      </w:r>
    </w:p>
    <w:p w14:paraId="3ABEAE18">
      <w:pPr>
        <w:pStyle w:val="16"/>
        <w:spacing w:line="360" w:lineRule="auto"/>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资格声明函</w:t>
      </w:r>
    </w:p>
    <w:p w14:paraId="2B9141D8">
      <w:pPr>
        <w:pStyle w:val="16"/>
        <w:spacing w:line="360" w:lineRule="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东莞市德晟招标有限公司：</w:t>
      </w:r>
    </w:p>
    <w:p w14:paraId="18061F48">
      <w:pPr>
        <w:pStyle w:val="16"/>
        <w:spacing w:line="360" w:lineRule="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关于贵公司</w:t>
      </w:r>
      <w:r>
        <w:rPr>
          <w:rFonts w:hint="eastAsia" w:ascii="仿宋" w:hAnsi="仿宋" w:eastAsia="仿宋" w:cs="仿宋"/>
          <w:b w:val="0"/>
          <w:bCs w:val="0"/>
          <w:color w:val="auto"/>
          <w:sz w:val="28"/>
          <w:szCs w:val="28"/>
          <w:highlight w:val="none"/>
          <w:u w:val="single"/>
        </w:rPr>
        <w:t xml:space="preserve">      </w:t>
      </w:r>
      <w:r>
        <w:rPr>
          <w:rFonts w:hint="eastAsia" w:ascii="仿宋" w:hAnsi="仿宋" w:eastAsia="仿宋" w:cs="仿宋"/>
          <w:b w:val="0"/>
          <w:bCs w:val="0"/>
          <w:color w:val="auto"/>
          <w:sz w:val="28"/>
          <w:szCs w:val="28"/>
          <w:highlight w:val="none"/>
        </w:rPr>
        <w:t>年</w:t>
      </w:r>
      <w:r>
        <w:rPr>
          <w:rFonts w:hint="eastAsia" w:ascii="仿宋" w:hAnsi="仿宋" w:eastAsia="仿宋" w:cs="仿宋"/>
          <w:b w:val="0"/>
          <w:bCs w:val="0"/>
          <w:color w:val="auto"/>
          <w:sz w:val="28"/>
          <w:szCs w:val="28"/>
          <w:highlight w:val="none"/>
          <w:u w:val="single"/>
        </w:rPr>
        <w:t xml:space="preserve">      </w:t>
      </w:r>
      <w:r>
        <w:rPr>
          <w:rFonts w:hint="eastAsia" w:ascii="仿宋" w:hAnsi="仿宋" w:eastAsia="仿宋" w:cs="仿宋"/>
          <w:b w:val="0"/>
          <w:bCs w:val="0"/>
          <w:color w:val="auto"/>
          <w:sz w:val="28"/>
          <w:szCs w:val="28"/>
          <w:highlight w:val="none"/>
        </w:rPr>
        <w:t>月</w:t>
      </w:r>
      <w:r>
        <w:rPr>
          <w:rFonts w:hint="eastAsia" w:ascii="仿宋" w:hAnsi="仿宋" w:eastAsia="仿宋" w:cs="仿宋"/>
          <w:b w:val="0"/>
          <w:bCs w:val="0"/>
          <w:color w:val="auto"/>
          <w:sz w:val="28"/>
          <w:szCs w:val="28"/>
          <w:highlight w:val="none"/>
          <w:u w:val="single"/>
        </w:rPr>
        <w:t xml:space="preserve">     </w:t>
      </w:r>
      <w:r>
        <w:rPr>
          <w:rFonts w:hint="eastAsia" w:ascii="仿宋" w:hAnsi="仿宋" w:eastAsia="仿宋" w:cs="仿宋"/>
          <w:b w:val="0"/>
          <w:bCs w:val="0"/>
          <w:color w:val="auto"/>
          <w:sz w:val="28"/>
          <w:szCs w:val="28"/>
          <w:highlight w:val="none"/>
        </w:rPr>
        <w:t>日发布</w:t>
      </w:r>
      <w:r>
        <w:rPr>
          <w:rFonts w:hint="eastAsia" w:ascii="仿宋" w:hAnsi="仿宋" w:eastAsia="仿宋" w:cs="仿宋"/>
          <w:b w:val="0"/>
          <w:bCs w:val="0"/>
          <w:color w:val="auto"/>
          <w:sz w:val="28"/>
          <w:szCs w:val="28"/>
          <w:highlight w:val="none"/>
          <w:u w:val="single"/>
        </w:rPr>
        <w:t xml:space="preserve">               </w:t>
      </w:r>
      <w:r>
        <w:rPr>
          <w:rFonts w:hint="eastAsia" w:ascii="仿宋" w:hAnsi="仿宋" w:eastAsia="仿宋" w:cs="仿宋"/>
          <w:b w:val="0"/>
          <w:bCs w:val="0"/>
          <w:color w:val="auto"/>
          <w:sz w:val="28"/>
          <w:szCs w:val="28"/>
          <w:highlight w:val="none"/>
        </w:rPr>
        <w:t>项目（项目编号：</w:t>
      </w:r>
      <w:r>
        <w:rPr>
          <w:rFonts w:hint="eastAsia" w:ascii="仿宋" w:hAnsi="仿宋" w:eastAsia="仿宋" w:cs="仿宋"/>
          <w:b w:val="0"/>
          <w:bCs w:val="0"/>
          <w:color w:val="auto"/>
          <w:sz w:val="28"/>
          <w:szCs w:val="28"/>
          <w:highlight w:val="none"/>
          <w:u w:val="single"/>
        </w:rPr>
        <w:t xml:space="preserve">           </w:t>
      </w:r>
      <w:r>
        <w:rPr>
          <w:rFonts w:hint="eastAsia" w:ascii="仿宋" w:hAnsi="仿宋" w:eastAsia="仿宋" w:cs="仿宋"/>
          <w:b w:val="0"/>
          <w:bCs w:val="0"/>
          <w:color w:val="auto"/>
          <w:sz w:val="28"/>
          <w:szCs w:val="28"/>
          <w:highlight w:val="none"/>
        </w:rPr>
        <w:t>）（包号：</w:t>
      </w:r>
      <w:r>
        <w:rPr>
          <w:rFonts w:hint="eastAsia" w:ascii="仿宋" w:hAnsi="仿宋" w:eastAsia="仿宋" w:cs="仿宋"/>
          <w:b w:val="0"/>
          <w:bCs w:val="0"/>
          <w:color w:val="auto"/>
          <w:sz w:val="28"/>
          <w:szCs w:val="28"/>
          <w:highlight w:val="none"/>
          <w:u w:val="single"/>
        </w:rPr>
        <w:t xml:space="preserve">     </w:t>
      </w:r>
      <w:r>
        <w:rPr>
          <w:rFonts w:hint="eastAsia" w:ascii="仿宋" w:hAnsi="仿宋" w:eastAsia="仿宋" w:cs="仿宋"/>
          <w:b w:val="0"/>
          <w:bCs w:val="0"/>
          <w:color w:val="auto"/>
          <w:sz w:val="28"/>
          <w:szCs w:val="28"/>
          <w:highlight w:val="none"/>
        </w:rPr>
        <w:t>）的采购公告，本单位愿意参加投标，并声明：</w:t>
      </w:r>
    </w:p>
    <w:p w14:paraId="3AD44592">
      <w:pPr>
        <w:pStyle w:val="16"/>
        <w:spacing w:line="360" w:lineRule="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一、本单位具有依法缴纳税收和社会保障资金的良好记录。</w:t>
      </w:r>
    </w:p>
    <w:p w14:paraId="36EEA583">
      <w:pPr>
        <w:pStyle w:val="16"/>
        <w:spacing w:line="360" w:lineRule="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二、本单位具有良好的商业信誉和健全的财务会计制度。</w:t>
      </w:r>
    </w:p>
    <w:p w14:paraId="1A1F5C85">
      <w:pPr>
        <w:pStyle w:val="16"/>
        <w:spacing w:line="360" w:lineRule="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三、本单位具有履行合同所必需的设备和专业技术能力。</w:t>
      </w:r>
    </w:p>
    <w:p w14:paraId="0EE12D12">
      <w:pPr>
        <w:pStyle w:val="16"/>
        <w:spacing w:line="360" w:lineRule="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四、本单位参加采购活动前3年内，在经营活动中没有重大违法记录：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14:paraId="5D607752">
      <w:pPr>
        <w:pStyle w:val="16"/>
        <w:spacing w:line="360" w:lineRule="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五、本单位具备法律、行政法规规定的其他条件。</w:t>
      </w:r>
    </w:p>
    <w:p w14:paraId="4B75B06B">
      <w:pPr>
        <w:pStyle w:val="16"/>
        <w:spacing w:line="360" w:lineRule="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六、本单位承诺单位负责人为同一人或者存在直接控股、管理关系的不同供应商，不得同时参加本采购项目（或采购包）投标。</w:t>
      </w:r>
    </w:p>
    <w:p w14:paraId="52E0B517">
      <w:pPr>
        <w:pStyle w:val="16"/>
        <w:spacing w:line="360" w:lineRule="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七、本单位承诺为本项目提供整体设计、规范编制或者项目管理、监理、检测等服务的供应商，不得再参与本项目投标。</w:t>
      </w:r>
    </w:p>
    <w:p w14:paraId="151F5746">
      <w:pPr>
        <w:pStyle w:val="16"/>
        <w:spacing w:line="360" w:lineRule="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本单位承诺在本次招标采购活动中，如有违法、违规、弄虚作假行为，所造成的损失、不良后果及法律责任，一律由本单位承担。</w:t>
      </w:r>
    </w:p>
    <w:p w14:paraId="471D09EB">
      <w:pPr>
        <w:pStyle w:val="16"/>
        <w:spacing w:line="360" w:lineRule="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特此声明！</w:t>
      </w:r>
    </w:p>
    <w:p w14:paraId="57052219">
      <w:pPr>
        <w:pStyle w:val="16"/>
        <w:spacing w:line="360" w:lineRule="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备注： 1.本声明函必须提供且内容不得擅自删改，否则视为无效投标。</w:t>
      </w:r>
    </w:p>
    <w:p w14:paraId="6725B49B">
      <w:pPr>
        <w:pStyle w:val="16"/>
        <w:spacing w:line="360" w:lineRule="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2.本声明函如有虚假或与事实不符的，作无效投标处理。</w:t>
      </w:r>
    </w:p>
    <w:p w14:paraId="3E829C41">
      <w:pPr>
        <w:pStyle w:val="16"/>
        <w:spacing w:line="360" w:lineRule="auto"/>
        <w:rPr>
          <w:rFonts w:hint="eastAsia" w:ascii="仿宋" w:hAnsi="仿宋" w:eastAsia="仿宋" w:cs="仿宋"/>
          <w:b w:val="0"/>
          <w:bCs w:val="0"/>
          <w:color w:val="auto"/>
          <w:sz w:val="28"/>
          <w:szCs w:val="28"/>
          <w:highlight w:val="none"/>
        </w:rPr>
      </w:pPr>
    </w:p>
    <w:p w14:paraId="4B12F85A">
      <w:pPr>
        <w:pStyle w:val="16"/>
        <w:spacing w:line="360" w:lineRule="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供应商名称（加盖公章）：</w:t>
      </w:r>
    </w:p>
    <w:p w14:paraId="61759FAD">
      <w:pPr>
        <w:pStyle w:val="16"/>
        <w:spacing w:line="360" w:lineRule="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供应商法定代表人或受委托人（签名或盖私章）：</w:t>
      </w:r>
    </w:p>
    <w:p w14:paraId="3A036E13">
      <w:pPr>
        <w:pStyle w:val="16"/>
        <w:spacing w:line="360" w:lineRule="auto"/>
        <w:rPr>
          <w:rFonts w:hint="eastAsia" w:ascii="仿宋" w:hAnsi="仿宋" w:eastAsia="仿宋" w:cs="仿宋"/>
          <w:b w:val="0"/>
          <w:bCs w:val="0"/>
          <w:color w:val="auto"/>
          <w:sz w:val="28"/>
          <w:szCs w:val="28"/>
          <w:highlight w:val="none"/>
          <w:lang w:val="en-US" w:eastAsia="zh-Hans"/>
        </w:rPr>
      </w:pPr>
      <w:r>
        <w:rPr>
          <w:rFonts w:hint="eastAsia" w:ascii="仿宋" w:hAnsi="仿宋" w:eastAsia="仿宋" w:cs="仿宋"/>
          <w:b w:val="0"/>
          <w:bCs w:val="0"/>
          <w:color w:val="auto"/>
          <w:sz w:val="28"/>
          <w:szCs w:val="28"/>
          <w:highlight w:val="none"/>
        </w:rPr>
        <w:t>日       期：</w:t>
      </w: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AEE724">
    <w:pPr>
      <w:pStyle w:val="8"/>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6D911BF">
                          <w:pPr>
                            <w:pStyle w:val="8"/>
                            <w:jc w:val="center"/>
                          </w:pPr>
                          <w:r>
                            <w:t xml:space="preserve">第 </w:t>
                          </w:r>
                          <w:r>
                            <w:fldChar w:fldCharType="begin"/>
                          </w:r>
                          <w:r>
                            <w:instrText xml:space="preserve"> PAGE  \* MERGEFORMAT </w:instrText>
                          </w:r>
                          <w:r>
                            <w:fldChar w:fldCharType="separate"/>
                          </w:r>
                          <w:r>
                            <w:t>58</w:t>
                          </w:r>
                          <w:r>
                            <w:fldChar w:fldCharType="end"/>
                          </w:r>
                          <w:r>
                            <w:t xml:space="preserve"> 页 共 </w:t>
                          </w:r>
                          <w:r>
                            <w:fldChar w:fldCharType="begin"/>
                          </w:r>
                          <w:r>
                            <w:instrText xml:space="preserve"> NUMPAGES  \* MERGEFORMAT </w:instrText>
                          </w:r>
                          <w:r>
                            <w:fldChar w:fldCharType="separate"/>
                          </w:r>
                          <w:r>
                            <w:t>112</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bxmbQ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G8Zm0MQIAAGMEAAAOAAAAAAAAAAEAIAAAAB8BAABkcnMvZTJvRG9jLnhtbFBLBQYA&#10;AAAABgAGAFkBAADCBQAAAAA=&#10;">
              <v:fill on="f" focussize="0,0"/>
              <v:stroke on="f" weight="0.5pt"/>
              <v:imagedata o:title=""/>
              <o:lock v:ext="edit" aspectratio="f"/>
              <v:textbox inset="0mm,0mm,0mm,0mm" style="mso-fit-shape-to-text:t;">
                <w:txbxContent>
                  <w:p w14:paraId="06D911BF">
                    <w:pPr>
                      <w:pStyle w:val="8"/>
                      <w:jc w:val="center"/>
                    </w:pPr>
                    <w:r>
                      <w:t xml:space="preserve">第 </w:t>
                    </w:r>
                    <w:r>
                      <w:fldChar w:fldCharType="begin"/>
                    </w:r>
                    <w:r>
                      <w:instrText xml:space="preserve"> PAGE  \* MERGEFORMAT </w:instrText>
                    </w:r>
                    <w:r>
                      <w:fldChar w:fldCharType="separate"/>
                    </w:r>
                    <w:r>
                      <w:t>58</w:t>
                    </w:r>
                    <w:r>
                      <w:fldChar w:fldCharType="end"/>
                    </w:r>
                    <w:r>
                      <w:t xml:space="preserve"> 页 共 </w:t>
                    </w:r>
                    <w:r>
                      <w:fldChar w:fldCharType="begin"/>
                    </w:r>
                    <w:r>
                      <w:instrText xml:space="preserve"> NUMPAGES  \* MERGEFORMAT </w:instrText>
                    </w:r>
                    <w:r>
                      <w:fldChar w:fldCharType="separate"/>
                    </w:r>
                    <w:r>
                      <w:t>112</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4F4C0D">
    <w:pPr>
      <w:pStyle w:val="8"/>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E49DD58">
                          <w:pPr>
                            <w:pStyle w:val="8"/>
                            <w:jc w:val="center"/>
                          </w:pPr>
                          <w:r>
                            <w:t xml:space="preserve">第 </w:t>
                          </w:r>
                          <w:r>
                            <w:fldChar w:fldCharType="begin"/>
                          </w:r>
                          <w:r>
                            <w:instrText xml:space="preserve"> PAGE  \* MERGEFORMAT </w:instrText>
                          </w:r>
                          <w:r>
                            <w:fldChar w:fldCharType="separate"/>
                          </w:r>
                          <w:r>
                            <w:t>58</w:t>
                          </w:r>
                          <w:r>
                            <w:fldChar w:fldCharType="end"/>
                          </w:r>
                          <w:r>
                            <w:t xml:space="preserve"> 页 共 </w:t>
                          </w:r>
                          <w:r>
                            <w:fldChar w:fldCharType="begin"/>
                          </w:r>
                          <w:r>
                            <w:instrText xml:space="preserve"> NUMPAGES  \* MERGEFORMAT </w:instrText>
                          </w:r>
                          <w:r>
                            <w:fldChar w:fldCharType="separate"/>
                          </w:r>
                          <w:r>
                            <w:t>112</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p w14:paraId="5E49DD58">
                    <w:pPr>
                      <w:pStyle w:val="8"/>
                      <w:jc w:val="center"/>
                    </w:pPr>
                    <w:r>
                      <w:t xml:space="preserve">第 </w:t>
                    </w:r>
                    <w:r>
                      <w:fldChar w:fldCharType="begin"/>
                    </w:r>
                    <w:r>
                      <w:instrText xml:space="preserve"> PAGE  \* MERGEFORMAT </w:instrText>
                    </w:r>
                    <w:r>
                      <w:fldChar w:fldCharType="separate"/>
                    </w:r>
                    <w:r>
                      <w:t>58</w:t>
                    </w:r>
                    <w:r>
                      <w:fldChar w:fldCharType="end"/>
                    </w:r>
                    <w:r>
                      <w:t xml:space="preserve"> 页 共 </w:t>
                    </w:r>
                    <w:r>
                      <w:fldChar w:fldCharType="begin"/>
                    </w:r>
                    <w:r>
                      <w:instrText xml:space="preserve"> NUMPAGES  \* MERGEFORMAT </w:instrText>
                    </w:r>
                    <w:r>
                      <w:fldChar w:fldCharType="separate"/>
                    </w:r>
                    <w:r>
                      <w:t>112</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F0794E">
    <w:pPr>
      <w:pStyle w:val="9"/>
      <w:jc w:val="both"/>
      <w:rPr>
        <w:rFonts w:hint="eastAsia" w:eastAsia="宋体"/>
        <w:lang w:eastAsia="zh-CN"/>
      </w:rPr>
    </w:pPr>
    <w:r>
      <w:rPr>
        <w:rFonts w:hint="eastAsia" w:hAnsi="黑体" w:eastAsia="楷体_GB2312"/>
        <w:lang w:eastAsia="zh-CN"/>
      </w:rPr>
      <w:t>东莞市常平镇中心小学食堂食材采购项目</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78CD79">
    <w:pPr>
      <w:pStyle w:val="9"/>
      <w:jc w:val="both"/>
      <w:rPr>
        <w:rFonts w:hint="eastAsia" w:eastAsia="宋体"/>
        <w:lang w:eastAsia="zh-CN"/>
      </w:rPr>
    </w:pPr>
    <w:r>
      <w:rPr>
        <w:rFonts w:hint="eastAsia" w:hAnsi="黑体" w:eastAsia="楷体_GB2312"/>
        <w:lang w:eastAsia="zh-CN"/>
      </w:rPr>
      <w:t>东莞市常平镇中心小学食堂食材采购项目</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0C29C76"/>
    <w:multiLevelType w:val="singleLevel"/>
    <w:tmpl w:val="D0C29C76"/>
    <w:lvl w:ilvl="0" w:tentative="0">
      <w:start w:val="6"/>
      <w:numFmt w:val="decimal"/>
      <w:lvlText w:val="%1."/>
      <w:lvlJc w:val="left"/>
      <w:pPr>
        <w:tabs>
          <w:tab w:val="left" w:pos="312"/>
        </w:tabs>
      </w:pPr>
    </w:lvl>
  </w:abstractNum>
  <w:abstractNum w:abstractNumId="1">
    <w:nsid w:val="13387DFE"/>
    <w:multiLevelType w:val="multilevel"/>
    <w:tmpl w:val="13387DFE"/>
    <w:lvl w:ilvl="0" w:tentative="0">
      <w:start w:val="1"/>
      <w:numFmt w:val="decimal"/>
      <w:pStyle w:val="3"/>
      <w:lvlText w:val="%1."/>
      <w:lvlJc w:val="left"/>
      <w:pPr>
        <w:ind w:left="425" w:hanging="425"/>
      </w:pPr>
      <w:rPr>
        <w:rFonts w:hint="eastAsia"/>
      </w:rPr>
    </w:lvl>
    <w:lvl w:ilvl="1" w:tentative="0">
      <w:start w:val="1"/>
      <w:numFmt w:val="decimal"/>
      <w:lvlText w:val="%1.%2."/>
      <w:lvlJc w:val="left"/>
      <w:pPr>
        <w:ind w:left="567" w:hanging="567"/>
      </w:pPr>
      <w:rPr>
        <w:rFonts w:hint="eastAsia"/>
        <w:b w:val="0"/>
        <w:sz w:val="22"/>
        <w:szCs w:val="22"/>
      </w:rPr>
    </w:lvl>
    <w:lvl w:ilvl="2" w:tentative="0">
      <w:start w:val="1"/>
      <w:numFmt w:val="decimal"/>
      <w:lvlText w:val="%1.%2.%3."/>
      <w:lvlJc w:val="left"/>
      <w:pPr>
        <w:ind w:left="567" w:hanging="709"/>
      </w:pPr>
      <w:rPr>
        <w:rFonts w:hint="eastAsia"/>
        <w:b w:val="0"/>
      </w:rPr>
    </w:lvl>
    <w:lvl w:ilvl="3" w:tentative="0">
      <w:start w:val="1"/>
      <w:numFmt w:val="decimal"/>
      <w:lvlText w:val="%1.%2.%3.%4."/>
      <w:lvlJc w:val="left"/>
      <w:pPr>
        <w:ind w:left="284" w:hanging="851"/>
      </w:pPr>
      <w:rPr>
        <w:rFonts w:hint="eastAsia"/>
      </w:rPr>
    </w:lvl>
    <w:lvl w:ilvl="4" w:tentative="0">
      <w:start w:val="1"/>
      <w:numFmt w:val="decimal"/>
      <w:lvlText w:val="%1.%2.%3.%4.%5."/>
      <w:lvlJc w:val="left"/>
      <w:pPr>
        <w:ind w:left="992" w:hanging="992"/>
      </w:pPr>
      <w:rPr>
        <w:rFonts w:hint="eastAsia"/>
      </w:rPr>
    </w:lvl>
    <w:lvl w:ilvl="5" w:tentative="0">
      <w:start w:val="1"/>
      <w:numFmt w:val="decimal"/>
      <w:lvlText w:val="%1.%2.%3.%4.%5.%6."/>
      <w:lvlJc w:val="left"/>
      <w:pPr>
        <w:ind w:left="1134" w:hanging="1134"/>
      </w:pPr>
      <w:rPr>
        <w:rFonts w:hint="eastAsia"/>
      </w:rPr>
    </w:lvl>
    <w:lvl w:ilvl="6" w:tentative="0">
      <w:start w:val="1"/>
      <w:numFmt w:val="decimal"/>
      <w:lvlText w:val="%1.%2.%3.%4.%5.%6.%7."/>
      <w:lvlJc w:val="left"/>
      <w:pPr>
        <w:ind w:left="1276" w:hanging="1276"/>
      </w:pPr>
      <w:rPr>
        <w:rFonts w:hint="eastAsia"/>
      </w:rPr>
    </w:lvl>
    <w:lvl w:ilvl="7" w:tentative="0">
      <w:start w:val="1"/>
      <w:numFmt w:val="decimal"/>
      <w:lvlText w:val="%1.%2.%3.%4.%5.%6.%7.%8."/>
      <w:lvlJc w:val="left"/>
      <w:pPr>
        <w:ind w:left="1418" w:hanging="1418"/>
      </w:pPr>
      <w:rPr>
        <w:rFonts w:hint="eastAsia"/>
      </w:rPr>
    </w:lvl>
    <w:lvl w:ilvl="8" w:tentative="0">
      <w:start w:val="1"/>
      <w:numFmt w:val="decimal"/>
      <w:lvlText w:val="%1.%2.%3.%4.%5.%6.%7.%8.%9."/>
      <w:lvlJc w:val="left"/>
      <w:pPr>
        <w:ind w:left="1559" w:hanging="1559"/>
      </w:pPr>
      <w:rPr>
        <w:rFonts w:hint="eastAsia"/>
      </w:rPr>
    </w:lvl>
  </w:abstractNum>
  <w:abstractNum w:abstractNumId="2">
    <w:nsid w:val="3EB02AD0"/>
    <w:multiLevelType w:val="multilevel"/>
    <w:tmpl w:val="3EB02AD0"/>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Q5NjNmOTc2YzYyODE4ZmJiYTQ3ODIzZjJlMWU2MWMifQ=="/>
  </w:docVars>
  <w:rsids>
    <w:rsidRoot w:val="53B52B8D"/>
    <w:rsid w:val="01050F22"/>
    <w:rsid w:val="011B2CE3"/>
    <w:rsid w:val="01236AF3"/>
    <w:rsid w:val="012C1DB7"/>
    <w:rsid w:val="016043AA"/>
    <w:rsid w:val="01AD5116"/>
    <w:rsid w:val="01DC6B6A"/>
    <w:rsid w:val="020C62E0"/>
    <w:rsid w:val="03305272"/>
    <w:rsid w:val="035A307B"/>
    <w:rsid w:val="036D1000"/>
    <w:rsid w:val="03AA09B7"/>
    <w:rsid w:val="03D46FA0"/>
    <w:rsid w:val="047F0FEB"/>
    <w:rsid w:val="04DC4690"/>
    <w:rsid w:val="063B3FCE"/>
    <w:rsid w:val="067508F8"/>
    <w:rsid w:val="06964D1E"/>
    <w:rsid w:val="06AD5BE2"/>
    <w:rsid w:val="06BC2CAD"/>
    <w:rsid w:val="06C13B3D"/>
    <w:rsid w:val="06CC6CDA"/>
    <w:rsid w:val="078F1964"/>
    <w:rsid w:val="084C7436"/>
    <w:rsid w:val="088E5CA1"/>
    <w:rsid w:val="08907C6B"/>
    <w:rsid w:val="089D1DD3"/>
    <w:rsid w:val="08CA257F"/>
    <w:rsid w:val="08F1563F"/>
    <w:rsid w:val="092C38FD"/>
    <w:rsid w:val="09815806"/>
    <w:rsid w:val="09B5471F"/>
    <w:rsid w:val="0A2148F3"/>
    <w:rsid w:val="0ABF34B5"/>
    <w:rsid w:val="0AF53DB5"/>
    <w:rsid w:val="0B054958"/>
    <w:rsid w:val="0B0B182B"/>
    <w:rsid w:val="0B161F7E"/>
    <w:rsid w:val="0B3D43F3"/>
    <w:rsid w:val="0B4D6210"/>
    <w:rsid w:val="0C260CA9"/>
    <w:rsid w:val="0C605BA6"/>
    <w:rsid w:val="0C686809"/>
    <w:rsid w:val="0C7E7DDA"/>
    <w:rsid w:val="0C863A0B"/>
    <w:rsid w:val="0C8C1998"/>
    <w:rsid w:val="0CC71781"/>
    <w:rsid w:val="0CEC743A"/>
    <w:rsid w:val="0CFF578F"/>
    <w:rsid w:val="0D901BAD"/>
    <w:rsid w:val="0DAF0B93"/>
    <w:rsid w:val="0DE2184F"/>
    <w:rsid w:val="0E4B1F3E"/>
    <w:rsid w:val="0E5926EA"/>
    <w:rsid w:val="0E7D0D45"/>
    <w:rsid w:val="0F6B2442"/>
    <w:rsid w:val="0F95110A"/>
    <w:rsid w:val="0FA96834"/>
    <w:rsid w:val="0FF732A6"/>
    <w:rsid w:val="10CA7A92"/>
    <w:rsid w:val="113109DB"/>
    <w:rsid w:val="119D6F55"/>
    <w:rsid w:val="11FC55B2"/>
    <w:rsid w:val="12015736"/>
    <w:rsid w:val="12851EC3"/>
    <w:rsid w:val="12B40364"/>
    <w:rsid w:val="12BE0E61"/>
    <w:rsid w:val="139566E6"/>
    <w:rsid w:val="13FD3CDB"/>
    <w:rsid w:val="14160B33"/>
    <w:rsid w:val="141D2642"/>
    <w:rsid w:val="14A95C11"/>
    <w:rsid w:val="14AB2659"/>
    <w:rsid w:val="15235F67"/>
    <w:rsid w:val="1629525B"/>
    <w:rsid w:val="162E1A30"/>
    <w:rsid w:val="16870D8E"/>
    <w:rsid w:val="169A3A63"/>
    <w:rsid w:val="16B44D47"/>
    <w:rsid w:val="17260828"/>
    <w:rsid w:val="17784F5A"/>
    <w:rsid w:val="177F50ED"/>
    <w:rsid w:val="18377CB8"/>
    <w:rsid w:val="18454C8C"/>
    <w:rsid w:val="18664544"/>
    <w:rsid w:val="192E0E54"/>
    <w:rsid w:val="193755E9"/>
    <w:rsid w:val="19A96D61"/>
    <w:rsid w:val="19C77C5A"/>
    <w:rsid w:val="1A253F8B"/>
    <w:rsid w:val="1A3146DE"/>
    <w:rsid w:val="1B7C7BDB"/>
    <w:rsid w:val="1D014681"/>
    <w:rsid w:val="1D0600A4"/>
    <w:rsid w:val="1D210A3A"/>
    <w:rsid w:val="1D5170CA"/>
    <w:rsid w:val="1E4C7D38"/>
    <w:rsid w:val="1E546BED"/>
    <w:rsid w:val="1E62539E"/>
    <w:rsid w:val="1EA35FEA"/>
    <w:rsid w:val="1ED55F80"/>
    <w:rsid w:val="1F153A5D"/>
    <w:rsid w:val="1FAA3431"/>
    <w:rsid w:val="1FF64400"/>
    <w:rsid w:val="20052895"/>
    <w:rsid w:val="202E3996"/>
    <w:rsid w:val="207A1EBD"/>
    <w:rsid w:val="20A15EE7"/>
    <w:rsid w:val="20D477BE"/>
    <w:rsid w:val="21423675"/>
    <w:rsid w:val="218D2ED7"/>
    <w:rsid w:val="22085377"/>
    <w:rsid w:val="226333FC"/>
    <w:rsid w:val="22E06CA1"/>
    <w:rsid w:val="238C7853"/>
    <w:rsid w:val="23921DA8"/>
    <w:rsid w:val="239A32F4"/>
    <w:rsid w:val="241C51A6"/>
    <w:rsid w:val="242D23BA"/>
    <w:rsid w:val="243A6A5F"/>
    <w:rsid w:val="24443260"/>
    <w:rsid w:val="247C0C4C"/>
    <w:rsid w:val="24857B00"/>
    <w:rsid w:val="253B210F"/>
    <w:rsid w:val="256B132D"/>
    <w:rsid w:val="25B6018D"/>
    <w:rsid w:val="260158AC"/>
    <w:rsid w:val="262470B9"/>
    <w:rsid w:val="2628782D"/>
    <w:rsid w:val="266320C3"/>
    <w:rsid w:val="267E0CAB"/>
    <w:rsid w:val="26AD25D3"/>
    <w:rsid w:val="26DB60FD"/>
    <w:rsid w:val="27750BF1"/>
    <w:rsid w:val="279A1B15"/>
    <w:rsid w:val="27A42993"/>
    <w:rsid w:val="28477CB1"/>
    <w:rsid w:val="28B430AA"/>
    <w:rsid w:val="28E5239B"/>
    <w:rsid w:val="28F74D45"/>
    <w:rsid w:val="29337116"/>
    <w:rsid w:val="29634188"/>
    <w:rsid w:val="29AC3D81"/>
    <w:rsid w:val="29D357B2"/>
    <w:rsid w:val="2A924740"/>
    <w:rsid w:val="2AD96DF8"/>
    <w:rsid w:val="2BAA0794"/>
    <w:rsid w:val="2BDE0AA6"/>
    <w:rsid w:val="2CAA0DA1"/>
    <w:rsid w:val="2DB31B82"/>
    <w:rsid w:val="2DBA18AB"/>
    <w:rsid w:val="2DC216D8"/>
    <w:rsid w:val="2DE1186A"/>
    <w:rsid w:val="2E187C37"/>
    <w:rsid w:val="2EF74361"/>
    <w:rsid w:val="2F171C9D"/>
    <w:rsid w:val="2F2074EE"/>
    <w:rsid w:val="2F870DCC"/>
    <w:rsid w:val="305807BF"/>
    <w:rsid w:val="305A62E5"/>
    <w:rsid w:val="30DD6F16"/>
    <w:rsid w:val="314A45AB"/>
    <w:rsid w:val="31CD0D39"/>
    <w:rsid w:val="31EF5153"/>
    <w:rsid w:val="32495C16"/>
    <w:rsid w:val="32D03117"/>
    <w:rsid w:val="336D4581"/>
    <w:rsid w:val="33A022AE"/>
    <w:rsid w:val="340B78F6"/>
    <w:rsid w:val="341B37F6"/>
    <w:rsid w:val="34BF0E0C"/>
    <w:rsid w:val="34F34F5A"/>
    <w:rsid w:val="354B26A0"/>
    <w:rsid w:val="355F4B28"/>
    <w:rsid w:val="356A3B8A"/>
    <w:rsid w:val="35803500"/>
    <w:rsid w:val="35C0308E"/>
    <w:rsid w:val="35DF103A"/>
    <w:rsid w:val="360A255B"/>
    <w:rsid w:val="366B28CE"/>
    <w:rsid w:val="3680074B"/>
    <w:rsid w:val="36A41292"/>
    <w:rsid w:val="36D52B69"/>
    <w:rsid w:val="36F6465C"/>
    <w:rsid w:val="373837CE"/>
    <w:rsid w:val="384F06F9"/>
    <w:rsid w:val="39861EF9"/>
    <w:rsid w:val="39E245F9"/>
    <w:rsid w:val="3A1219DE"/>
    <w:rsid w:val="3A6F3DD0"/>
    <w:rsid w:val="3AB84355"/>
    <w:rsid w:val="3AEF3ACE"/>
    <w:rsid w:val="3B516536"/>
    <w:rsid w:val="3BB96BD9"/>
    <w:rsid w:val="3BF75330"/>
    <w:rsid w:val="3C0F0546"/>
    <w:rsid w:val="3D000381"/>
    <w:rsid w:val="3D6E1622"/>
    <w:rsid w:val="3DD863C0"/>
    <w:rsid w:val="3E226861"/>
    <w:rsid w:val="3E8065FB"/>
    <w:rsid w:val="3ECA1007"/>
    <w:rsid w:val="3EEF22EE"/>
    <w:rsid w:val="3F0A7FA0"/>
    <w:rsid w:val="3F514D57"/>
    <w:rsid w:val="3F626F64"/>
    <w:rsid w:val="3FB5178A"/>
    <w:rsid w:val="3FCC0881"/>
    <w:rsid w:val="3FF55B1F"/>
    <w:rsid w:val="40D043A1"/>
    <w:rsid w:val="412070D7"/>
    <w:rsid w:val="412C782A"/>
    <w:rsid w:val="413D24F3"/>
    <w:rsid w:val="4185518C"/>
    <w:rsid w:val="41932BA9"/>
    <w:rsid w:val="41E865B2"/>
    <w:rsid w:val="42554B5E"/>
    <w:rsid w:val="42A6214F"/>
    <w:rsid w:val="42E67EAC"/>
    <w:rsid w:val="431B61D5"/>
    <w:rsid w:val="436D4129"/>
    <w:rsid w:val="44B738AE"/>
    <w:rsid w:val="44F4049B"/>
    <w:rsid w:val="457479F1"/>
    <w:rsid w:val="45B95D81"/>
    <w:rsid w:val="45DB3EF9"/>
    <w:rsid w:val="468123C6"/>
    <w:rsid w:val="46A3401E"/>
    <w:rsid w:val="473D6A6E"/>
    <w:rsid w:val="486F44A0"/>
    <w:rsid w:val="48AD5029"/>
    <w:rsid w:val="48C540C0"/>
    <w:rsid w:val="490B160D"/>
    <w:rsid w:val="4A113A61"/>
    <w:rsid w:val="4A272DA8"/>
    <w:rsid w:val="4ABD1267"/>
    <w:rsid w:val="4AD23834"/>
    <w:rsid w:val="4AE157E6"/>
    <w:rsid w:val="4B0C5FD6"/>
    <w:rsid w:val="4BEC7610"/>
    <w:rsid w:val="4BF3029F"/>
    <w:rsid w:val="4C16509C"/>
    <w:rsid w:val="4C1E2465"/>
    <w:rsid w:val="4D0A0D72"/>
    <w:rsid w:val="4D272532"/>
    <w:rsid w:val="4D5C64BA"/>
    <w:rsid w:val="4D9F4CF8"/>
    <w:rsid w:val="4DDD3C5A"/>
    <w:rsid w:val="4E593C28"/>
    <w:rsid w:val="4E6605CA"/>
    <w:rsid w:val="4FDD2B5F"/>
    <w:rsid w:val="50243DC2"/>
    <w:rsid w:val="502E69EF"/>
    <w:rsid w:val="50E24A50"/>
    <w:rsid w:val="52890161"/>
    <w:rsid w:val="52F061DD"/>
    <w:rsid w:val="531540B7"/>
    <w:rsid w:val="53263E99"/>
    <w:rsid w:val="53542C10"/>
    <w:rsid w:val="53AF7E46"/>
    <w:rsid w:val="53B52B8D"/>
    <w:rsid w:val="53E2361A"/>
    <w:rsid w:val="55164266"/>
    <w:rsid w:val="55346855"/>
    <w:rsid w:val="55381ED8"/>
    <w:rsid w:val="553C572D"/>
    <w:rsid w:val="556A671B"/>
    <w:rsid w:val="56843832"/>
    <w:rsid w:val="572D4037"/>
    <w:rsid w:val="57736371"/>
    <w:rsid w:val="57C93BCD"/>
    <w:rsid w:val="57FA1966"/>
    <w:rsid w:val="584D3DD6"/>
    <w:rsid w:val="588631F5"/>
    <w:rsid w:val="5895178B"/>
    <w:rsid w:val="59090D3D"/>
    <w:rsid w:val="59142C25"/>
    <w:rsid w:val="592C090B"/>
    <w:rsid w:val="59391BAA"/>
    <w:rsid w:val="593D66CF"/>
    <w:rsid w:val="59653481"/>
    <w:rsid w:val="5A3F50A7"/>
    <w:rsid w:val="5AB3021C"/>
    <w:rsid w:val="5B6B2E0E"/>
    <w:rsid w:val="5B8D3163"/>
    <w:rsid w:val="5B927A9B"/>
    <w:rsid w:val="5BD743DE"/>
    <w:rsid w:val="5BE329AE"/>
    <w:rsid w:val="5BEA2363"/>
    <w:rsid w:val="5C82214D"/>
    <w:rsid w:val="5CBE0A15"/>
    <w:rsid w:val="5D015BB7"/>
    <w:rsid w:val="5D1A6B11"/>
    <w:rsid w:val="5D971C5A"/>
    <w:rsid w:val="5DA54B0D"/>
    <w:rsid w:val="5DFA1F85"/>
    <w:rsid w:val="5E453881"/>
    <w:rsid w:val="5E466845"/>
    <w:rsid w:val="5E7E252F"/>
    <w:rsid w:val="5E7F79B1"/>
    <w:rsid w:val="5EAD73F2"/>
    <w:rsid w:val="5F8B4B7B"/>
    <w:rsid w:val="5FE931D6"/>
    <w:rsid w:val="60342E35"/>
    <w:rsid w:val="60D33FA2"/>
    <w:rsid w:val="60E530F9"/>
    <w:rsid w:val="60E91ABE"/>
    <w:rsid w:val="61BA646B"/>
    <w:rsid w:val="61E51427"/>
    <w:rsid w:val="6263077A"/>
    <w:rsid w:val="626A5FAC"/>
    <w:rsid w:val="626C0822"/>
    <w:rsid w:val="6357614B"/>
    <w:rsid w:val="636A472B"/>
    <w:rsid w:val="637644DD"/>
    <w:rsid w:val="64337DCC"/>
    <w:rsid w:val="647629E6"/>
    <w:rsid w:val="64794284"/>
    <w:rsid w:val="64947B60"/>
    <w:rsid w:val="64D7381D"/>
    <w:rsid w:val="650F65D3"/>
    <w:rsid w:val="65384140"/>
    <w:rsid w:val="65715232"/>
    <w:rsid w:val="65975EE4"/>
    <w:rsid w:val="65A45331"/>
    <w:rsid w:val="669F44F8"/>
    <w:rsid w:val="66C05D7C"/>
    <w:rsid w:val="66E0573D"/>
    <w:rsid w:val="66E64E7C"/>
    <w:rsid w:val="672B015C"/>
    <w:rsid w:val="678B726D"/>
    <w:rsid w:val="67BB4C0B"/>
    <w:rsid w:val="67EA1F35"/>
    <w:rsid w:val="67EB4DFC"/>
    <w:rsid w:val="68222C62"/>
    <w:rsid w:val="687406FE"/>
    <w:rsid w:val="69443264"/>
    <w:rsid w:val="694F1A58"/>
    <w:rsid w:val="69C8610E"/>
    <w:rsid w:val="6A6B0B13"/>
    <w:rsid w:val="6A7A0D56"/>
    <w:rsid w:val="6AC4614D"/>
    <w:rsid w:val="6B064398"/>
    <w:rsid w:val="6B2A6220"/>
    <w:rsid w:val="6B481FA1"/>
    <w:rsid w:val="6B5B0B88"/>
    <w:rsid w:val="6B680BAF"/>
    <w:rsid w:val="6BD0616F"/>
    <w:rsid w:val="6C101972"/>
    <w:rsid w:val="6C315445"/>
    <w:rsid w:val="6C5F1FB2"/>
    <w:rsid w:val="6D182DA9"/>
    <w:rsid w:val="6D370FF9"/>
    <w:rsid w:val="6DC86ABB"/>
    <w:rsid w:val="6DF1682F"/>
    <w:rsid w:val="6E056B89"/>
    <w:rsid w:val="6E4E6782"/>
    <w:rsid w:val="6EB43020"/>
    <w:rsid w:val="6EC30F1E"/>
    <w:rsid w:val="6F2D283B"/>
    <w:rsid w:val="6FC5169B"/>
    <w:rsid w:val="6FE74798"/>
    <w:rsid w:val="71F72C8D"/>
    <w:rsid w:val="72200435"/>
    <w:rsid w:val="72CC754C"/>
    <w:rsid w:val="730C38E8"/>
    <w:rsid w:val="731743ED"/>
    <w:rsid w:val="7330600F"/>
    <w:rsid w:val="733C707A"/>
    <w:rsid w:val="737C3109"/>
    <w:rsid w:val="73840550"/>
    <w:rsid w:val="743830C9"/>
    <w:rsid w:val="74AA048A"/>
    <w:rsid w:val="75680129"/>
    <w:rsid w:val="75CD61DE"/>
    <w:rsid w:val="75F967E0"/>
    <w:rsid w:val="765468FF"/>
    <w:rsid w:val="76D13703"/>
    <w:rsid w:val="76E82A44"/>
    <w:rsid w:val="774E5F67"/>
    <w:rsid w:val="77617528"/>
    <w:rsid w:val="77626DFA"/>
    <w:rsid w:val="778E7BEF"/>
    <w:rsid w:val="77F79321"/>
    <w:rsid w:val="780F5FC3"/>
    <w:rsid w:val="782347DB"/>
    <w:rsid w:val="783E33C3"/>
    <w:rsid w:val="784322CA"/>
    <w:rsid w:val="7843609F"/>
    <w:rsid w:val="78505AD2"/>
    <w:rsid w:val="78AA0A59"/>
    <w:rsid w:val="78B0463C"/>
    <w:rsid w:val="79312F28"/>
    <w:rsid w:val="794B3FEA"/>
    <w:rsid w:val="79D85059"/>
    <w:rsid w:val="79FC4FD7"/>
    <w:rsid w:val="7A04063C"/>
    <w:rsid w:val="7AAD65DE"/>
    <w:rsid w:val="7AAF78A6"/>
    <w:rsid w:val="7B2C1BF9"/>
    <w:rsid w:val="7BB75FCB"/>
    <w:rsid w:val="7BF07857"/>
    <w:rsid w:val="7C16533D"/>
    <w:rsid w:val="7C9E54B7"/>
    <w:rsid w:val="7CEB0C7B"/>
    <w:rsid w:val="7D5858F6"/>
    <w:rsid w:val="7DE565BC"/>
    <w:rsid w:val="7E14449E"/>
    <w:rsid w:val="7E5C3F4E"/>
    <w:rsid w:val="7E6478FC"/>
    <w:rsid w:val="7E9A536A"/>
    <w:rsid w:val="7EB743C5"/>
    <w:rsid w:val="7F323086"/>
    <w:rsid w:val="7F5E5A33"/>
    <w:rsid w:val="7FC40652"/>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3">
    <w:name w:val="heading 3"/>
    <w:basedOn w:val="1"/>
    <w:next w:val="1"/>
    <w:qFormat/>
    <w:uiPriority w:val="0"/>
    <w:pPr>
      <w:keepNext/>
      <w:keepLines/>
      <w:numPr>
        <w:ilvl w:val="0"/>
        <w:numId w:val="1"/>
      </w:numPr>
      <w:tabs>
        <w:tab w:val="left" w:pos="425"/>
      </w:tabs>
      <w:spacing w:before="260" w:after="260" w:line="600" w:lineRule="exact"/>
      <w:jc w:val="center"/>
      <w:outlineLvl w:val="2"/>
    </w:pPr>
    <w:rPr>
      <w:rFonts w:eastAsia="仿宋_GB2312"/>
      <w:b/>
      <w:bCs/>
      <w:sz w:val="32"/>
      <w:szCs w:val="32"/>
    </w:rPr>
  </w:style>
  <w:style w:type="paragraph" w:styleId="4">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0"/>
    <w:pPr>
      <w:spacing w:after="120" w:afterLines="0"/>
    </w:pPr>
  </w:style>
  <w:style w:type="paragraph" w:styleId="7">
    <w:name w:val="Body Text Indent"/>
    <w:basedOn w:val="1"/>
    <w:qFormat/>
    <w:uiPriority w:val="0"/>
    <w:pPr>
      <w:spacing w:after="120" w:afterLines="0"/>
      <w:ind w:left="420" w:leftChars="200"/>
    </w:p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0">
    <w:name w:val="toc 1"/>
    <w:basedOn w:val="1"/>
    <w:next w:val="1"/>
    <w:qFormat/>
    <w:uiPriority w:val="0"/>
  </w:style>
  <w:style w:type="paragraph" w:styleId="11">
    <w:name w:val="Body Text First Indent 2"/>
    <w:basedOn w:val="7"/>
    <w:qFormat/>
    <w:uiPriority w:val="0"/>
    <w:pPr>
      <w:snapToGrid w:val="0"/>
      <w:spacing w:after="120" w:line="360" w:lineRule="auto"/>
      <w:ind w:left="420" w:leftChars="200" w:firstLine="420" w:firstLineChars="200"/>
    </w:pPr>
    <w:rPr>
      <w:bCs/>
      <w:szCs w:val="21"/>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0"/>
    <w:rPr>
      <w:b/>
    </w:rPr>
  </w:style>
  <w:style w:type="paragraph" w:customStyle="1" w:styleId="16">
    <w:name w:val="null3"/>
    <w:hidden/>
    <w:qFormat/>
    <w:uiPriority w:val="0"/>
    <w:rPr>
      <w:rFonts w:hint="eastAsia" w:asciiTheme="minorHAnsi" w:hAnsiTheme="minorHAnsi" w:eastAsiaTheme="minorEastAsia" w:cstheme="minorBidi"/>
      <w:lang w:val="en-US" w:eastAsia="zh-Hans"/>
    </w:rPr>
  </w:style>
  <w:style w:type="paragraph" w:customStyle="1" w:styleId="17">
    <w:name w:val="首行缩进"/>
    <w:basedOn w:val="1"/>
    <w:qFormat/>
    <w:uiPriority w:val="0"/>
    <w:pPr>
      <w:ind w:firstLine="480" w:firstLineChars="200"/>
    </w:pPr>
    <w:rPr>
      <w:lang w:val="zh-CN"/>
    </w:rPr>
  </w:style>
  <w:style w:type="character" w:customStyle="1" w:styleId="18">
    <w:name w:val="样式 楷体_GB2312 小四"/>
    <w:qFormat/>
    <w:uiPriority w:val="0"/>
    <w:rPr>
      <w:rFonts w:ascii="楷体_GB2312" w:hAnsi="楷体_GB2312" w:eastAsia="仿宋_GB2312"/>
      <w:sz w:val="24"/>
    </w:rPr>
  </w:style>
  <w:style w:type="paragraph" w:styleId="19">
    <w:name w:val="List Paragraph"/>
    <w:basedOn w:val="1"/>
    <w:qFormat/>
    <w:uiPriority w:val="34"/>
    <w:pPr>
      <w:ind w:firstLine="420" w:firstLineChars="200"/>
    </w:pPr>
  </w:style>
  <w:style w:type="character" w:customStyle="1" w:styleId="20">
    <w:name w:val="标题 3.1 Char"/>
    <w:qFormat/>
    <w:uiPriority w:val="0"/>
    <w:rPr>
      <w:rFonts w:ascii="宋体" w:hAnsi="宋体" w:eastAsia="宋体" w:cs="Times New Roman"/>
      <w:b/>
      <w:bCs/>
      <w:kern w:val="2"/>
      <w:sz w:val="24"/>
      <w:szCs w:val="28"/>
      <w:lang w:val="en-US" w:eastAsia="zh-CN" w:bidi="ar-SA"/>
    </w:rPr>
  </w:style>
  <w:style w:type="paragraph" w:customStyle="1" w:styleId="21">
    <w:name w:val="标题 3.1"/>
    <w:basedOn w:val="3"/>
    <w:qFormat/>
    <w:uiPriority w:val="0"/>
    <w:pPr>
      <w:tabs>
        <w:tab w:val="left" w:pos="709"/>
        <w:tab w:val="left" w:pos="1440"/>
        <w:tab w:val="left" w:pos="1620"/>
      </w:tabs>
      <w:spacing w:line="400" w:lineRule="exact"/>
      <w:jc w:val="both"/>
    </w:pPr>
    <w:rPr>
      <w:rFonts w:ascii="宋体" w:hAnsi="宋体" w:eastAsia="宋体"/>
      <w:sz w:val="24"/>
      <w:szCs w:val="28"/>
    </w:rPr>
  </w:style>
  <w:style w:type="paragraph" w:customStyle="1" w:styleId="22">
    <w:name w:val="正文缩进2格"/>
    <w:basedOn w:val="1"/>
    <w:next w:val="1"/>
    <w:qFormat/>
    <w:uiPriority w:val="0"/>
    <w:pPr>
      <w:spacing w:line="600" w:lineRule="exact"/>
      <w:ind w:firstLine="639" w:firstLineChars="206"/>
    </w:pPr>
    <w:rPr>
      <w:rFonts w:ascii="仿宋_GB2312" w:hAnsi="宋体" w:eastAsia="仿宋_GB2312"/>
      <w:sz w:val="31"/>
      <w:szCs w:val="28"/>
    </w:rPr>
  </w:style>
  <w:style w:type="paragraph" w:customStyle="1" w:styleId="23">
    <w:name w:val="表格文字"/>
    <w:basedOn w:val="1"/>
    <w:qFormat/>
    <w:uiPriority w:val="0"/>
    <w:pPr>
      <w:autoSpaceDE/>
      <w:autoSpaceDN/>
      <w:adjustRightInd/>
      <w:spacing w:before="25" w:after="25"/>
    </w:pPr>
    <w:rPr>
      <w:rFonts w:ascii="Times New Roman" w:hAnsi="Calibri" w:eastAsia="宋体" w:cs="Times New Roman"/>
      <w:bCs/>
      <w:spacing w:val="10"/>
      <w:szCs w:val="20"/>
    </w:rPr>
  </w:style>
  <w:style w:type="character" w:customStyle="1" w:styleId="24">
    <w:name w:val="font21"/>
    <w:basedOn w:val="14"/>
    <w:qFormat/>
    <w:uiPriority w:val="0"/>
    <w:rPr>
      <w:rFonts w:hint="eastAsia" w:ascii="宋体" w:hAnsi="宋体" w:eastAsia="宋体" w:cs="宋体"/>
      <w:color w:val="000000"/>
      <w:sz w:val="24"/>
      <w:szCs w:val="24"/>
      <w:u w:val="none"/>
    </w:rPr>
  </w:style>
  <w:style w:type="character" w:customStyle="1" w:styleId="25">
    <w:name w:val="font11"/>
    <w:basedOn w:val="14"/>
    <w:qFormat/>
    <w:uiPriority w:val="0"/>
    <w:rPr>
      <w:rFonts w:hint="eastAsia" w:ascii="宋体" w:hAnsi="宋体" w:eastAsia="宋体" w:cs="宋体"/>
      <w:color w:val="000000"/>
      <w:sz w:val="20"/>
      <w:szCs w:val="20"/>
      <w:u w:val="none"/>
    </w:rPr>
  </w:style>
  <w:style w:type="paragraph" w:customStyle="1" w:styleId="26">
    <w:name w:val="Table Paragraph"/>
    <w:basedOn w:val="1"/>
    <w:qFormat/>
    <w:uiPriority w:val="1"/>
    <w:rPr>
      <w:rFonts w:ascii="宋体" w:hAnsi="宋体" w:eastAsia="宋体" w:cs="宋体"/>
      <w:lang w:val="zh-CN" w:eastAsia="zh-CN" w:bidi="zh-CN"/>
    </w:rPr>
  </w:style>
  <w:style w:type="paragraph" w:customStyle="1" w:styleId="27">
    <w:name w:val="列出段落1"/>
    <w:basedOn w:val="1"/>
    <w:qFormat/>
    <w:uiPriority w:val="34"/>
    <w:pPr>
      <w:ind w:firstLine="420" w:firstLineChars="200"/>
    </w:pPr>
    <w:rPr>
      <w:rFonts w:ascii="Calibri" w:hAnsi="Calibri" w:eastAsia="宋体" w:cs="黑体"/>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181</Pages>
  <Words>2831</Words>
  <Characters>3257</Characters>
  <Lines>0</Lines>
  <Paragraphs>0</Paragraphs>
  <TotalTime>0</TotalTime>
  <ScaleCrop>false</ScaleCrop>
  <LinksUpToDate>false</LinksUpToDate>
  <CharactersWithSpaces>3288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WPS_1583285465</cp:lastModifiedBy>
  <cp:lastPrinted>2025-05-20T09:56:00Z</cp:lastPrinted>
  <dcterms:modified xsi:type="dcterms:W3CDTF">2025-06-11T03:04:10Z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C3F06FCF2BC54EC0A1F57BB418F2411F_13</vt:lpwstr>
  </property>
  <property fmtid="{D5CDD505-2E9C-101B-9397-08002B2CF9AE}" pid="4" name="KSOTemplateDocerSaveRecord">
    <vt:lpwstr>eyJoZGlkIjoiZmRhMmFmYjM3OWE4N2ViMTFmMDk1NGM5ZGE2M2MzZDciLCJ1c2VySWQiOiI4ODQ5MTAzMjQifQ==</vt:lpwstr>
  </property>
</Properties>
</file>